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656"/>
        <w:gridCol w:w="165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27</w:t>
                </w:r>
              </w:sdtContent>
            </w:sdt>
          </w:p>
        </w:tc>
      </w:tr>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אלה פטל</w:t>
                </w:r>
              </w:sdtContent>
            </w:sdt>
          </w:p>
          <w:p w:rsidR="0094424E" w:rsidRDefault="0094424E" w:rsidP="00D44968">
            <w:pPr>
              <w:suppressLineNumbers/>
              <w:rPr>
                <w:rFonts w:ascii="Arial" w:hAnsi="Arial" w:cs="FrankRuehl"/>
                <w:sz w:val="28"/>
                <w:szCs w:val="28"/>
                <w:highlight w:val="yellow"/>
              </w:rPr>
            </w:pPr>
          </w:p>
        </w:tc>
      </w:tr>
      <w:tr w:rsidR="0094424E" w:rsidTr="00B063EB">
        <w:trPr>
          <w:jc w:val="center"/>
        </w:trPr>
        <w:tc>
          <w:tcPr>
            <w:tcW w:w="339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D4707A" w:rsidRDefault="00B063EB">
                <w:pPr>
                  <w:suppressLineNumbers/>
                  <w:rPr>
                    <w:rFonts w:ascii="Arial" w:hAnsi="Arial"/>
                    <w:b/>
                    <w:bCs/>
                    <w:noProof w:val="0"/>
                    <w:sz w:val="26"/>
                    <w:szCs w:val="26"/>
                    <w:rtl/>
                  </w:rPr>
                </w:pPr>
                <w:r>
                  <w:rPr>
                    <w:rFonts w:ascii="Arial" w:hAnsi="Arial"/>
                    <w:b/>
                    <w:bCs/>
                    <w:noProof w:val="0"/>
                    <w:sz w:val="26"/>
                    <w:szCs w:val="26"/>
                    <w:rtl/>
                  </w:rPr>
                  <w:t>מבקש</w:t>
                </w:r>
                <w:r>
                  <w:rPr>
                    <w:rFonts w:ascii="Arial" w:hAnsi="Arial" w:hint="cs"/>
                    <w:b/>
                    <w:bCs/>
                    <w:noProof w:val="0"/>
                    <w:sz w:val="26"/>
                    <w:szCs w:val="26"/>
                    <w:rtl/>
                  </w:rPr>
                  <w:t xml:space="preserve">ת </w:t>
                </w:r>
              </w:p>
            </w:sdtContent>
          </w:sdt>
        </w:tc>
        <w:tc>
          <w:tcPr>
            <w:tcW w:w="5421" w:type="dxa"/>
            <w:gridSpan w:val="2"/>
          </w:tcPr>
          <w:p w:rsidR="0094424E" w:rsidRDefault="0094424E" w:rsidP="00D44968">
            <w:pPr>
              <w:suppressLineNumbers/>
              <w:rPr>
                <w:rFonts w:ascii="Arial" w:hAnsi="Arial"/>
                <w:b/>
                <w:bCs/>
                <w:noProof w:val="0"/>
                <w:sz w:val="26"/>
                <w:szCs w:val="26"/>
                <w:rtl/>
              </w:rPr>
            </w:pPr>
          </w:p>
          <w:p w:rsidR="0094424E" w:rsidRDefault="00D067B5" w:rsidP="00264867">
            <w:pPr>
              <w:suppressLineNumbers/>
              <w:rPr>
                <w:b/>
                <w:bCs/>
                <w:noProof w:val="0"/>
                <w:sz w:val="26"/>
                <w:szCs w:val="26"/>
              </w:rPr>
            </w:pPr>
            <w:sdt>
              <w:sdtPr>
                <w:rPr>
                  <w:rFonts w:ascii="Arial" w:hAnsi="Arial"/>
                  <w:b/>
                  <w:bCs/>
                  <w:noProof w:val="0"/>
                  <w:sz w:val="26"/>
                  <w:szCs w:val="26"/>
                  <w:rtl/>
                </w:rPr>
                <w:alias w:val="1462"/>
                <w:tag w:val="1462"/>
                <w:id w:val="-2139489462"/>
                <w:showingPlcHdr/>
                <w:text w:multiLine="1"/>
              </w:sdtPr>
              <w:sdtEndPr/>
              <w:sdtContent>
                <w:r w:rsidR="00B063EB" w:rsidRPr="00B063EB">
                  <w:rPr>
                    <w:rFonts w:ascii="Arial" w:hAnsi="Arial"/>
                    <w:b/>
                    <w:bCs/>
                    <w:noProof w:val="0"/>
                    <w:sz w:val="26"/>
                    <w:szCs w:val="26"/>
                    <w:rtl/>
                  </w:rPr>
                  <w:t xml:space="preserve">     </w:t>
                </w:r>
              </w:sdtContent>
            </w:sdt>
            <w:r w:rsidR="0094424E" w:rsidRPr="00B063EB">
              <w:rPr>
                <w:rFonts w:ascii="Arial" w:hAnsi="Arial" w:hint="cs"/>
                <w:b/>
                <w:bCs/>
                <w:noProof w:val="0"/>
                <w:sz w:val="26"/>
                <w:szCs w:val="26"/>
                <w:rtl/>
              </w:rPr>
              <w:t xml:space="preserve"> </w:t>
            </w:r>
            <w:sdt>
              <w:sdtPr>
                <w:rPr>
                  <w:b/>
                  <w:bCs/>
                  <w:rtl/>
                </w:rPr>
                <w:alias w:val="1478"/>
                <w:tag w:val="1478"/>
                <w:id w:val="-2076122985"/>
                <w:text w:multiLine="1"/>
              </w:sdtPr>
              <w:sdtEndPr/>
              <w:sdtContent>
                <w:r w:rsidR="00B063EB" w:rsidRPr="00B063EB">
                  <w:rPr>
                    <w:b/>
                    <w:bCs/>
                    <w:rtl/>
                  </w:rPr>
                  <w:t>ר</w:t>
                </w:r>
                <w:r w:rsidR="00264867">
                  <w:rPr>
                    <w:rFonts w:hint="cs"/>
                    <w:b/>
                    <w:bCs/>
                    <w:rtl/>
                  </w:rPr>
                  <w:t>' ד.צ</w:t>
                </w:r>
              </w:sdtContent>
            </w:sdt>
            <w:r w:rsidR="00B063EB" w:rsidRPr="00B063EB">
              <w:rPr>
                <w:b/>
                <w:bCs/>
                <w:rtl/>
              </w:rPr>
              <w:t xml:space="preserve"> </w:t>
            </w:r>
            <w:r w:rsidR="00B063EB" w:rsidRPr="00B063EB">
              <w:rPr>
                <w:b/>
                <w:bCs/>
                <w:rtl/>
              </w:rPr>
              <w:br/>
            </w:r>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B063EB">
        <w:trPr>
          <w:jc w:val="center"/>
        </w:trPr>
        <w:tc>
          <w:tcPr>
            <w:tcW w:w="3399" w:type="dxa"/>
            <w:gridSpan w:val="2"/>
          </w:tcPr>
          <w:p w:rsidR="0094424E" w:rsidRDefault="00D067B5" w:rsidP="00D44968">
            <w:pPr>
              <w:suppressLineNumbers/>
              <w:rPr>
                <w:rFonts w:ascii="Arial" w:hAnsi="Arial"/>
                <w:b/>
                <w:bCs/>
                <w:noProof w:val="0"/>
                <w:sz w:val="26"/>
                <w:szCs w:val="26"/>
              </w:rPr>
            </w:pPr>
            <w:sdt>
              <w:sdtPr>
                <w:rPr>
                  <w:rtl/>
                </w:rPr>
                <w:alias w:val="1184"/>
                <w:tag w:val="1184"/>
                <w:id w:val="-340621022"/>
                <w:text w:multiLine="1"/>
              </w:sdtPr>
              <w:sdtEndPr/>
              <w:sdtContent>
                <w:r w:rsidR="00064651">
                  <w:rPr>
                    <w:rFonts w:ascii="Arial" w:hAnsi="Arial"/>
                    <w:b/>
                    <w:bCs/>
                    <w:noProof w:val="0"/>
                    <w:sz w:val="26"/>
                    <w:szCs w:val="26"/>
                    <w:rtl/>
                  </w:rPr>
                  <w:t>משיבים</w:t>
                </w:r>
              </w:sdtContent>
            </w:sdt>
          </w:p>
        </w:tc>
        <w:tc>
          <w:tcPr>
            <w:tcW w:w="5421" w:type="dxa"/>
            <w:gridSpan w:val="2"/>
          </w:tcPr>
          <w:p w:rsidR="00CF6BB7" w:rsidRDefault="00CF6BB7" w:rsidP="00D44968">
            <w:pPr>
              <w:suppressLineNumbers/>
              <w:rPr>
                <w:b/>
                <w:bCs/>
                <w:noProof w:val="0"/>
                <w:sz w:val="26"/>
                <w:szCs w:val="26"/>
                <w:rtl/>
              </w:rPr>
            </w:pPr>
          </w:p>
          <w:p w:rsidR="007434BC" w:rsidRPr="007434BC" w:rsidRDefault="00D067B5" w:rsidP="00264867">
            <w:pPr>
              <w:pStyle w:val="ad"/>
              <w:numPr>
                <w:ilvl w:val="0"/>
                <w:numId w:val="7"/>
              </w:numPr>
              <w:rPr>
                <w:b/>
                <w:bCs/>
                <w:rtl/>
              </w:rPr>
            </w:pPr>
            <w:sdt>
              <w:sdtPr>
                <w:rPr>
                  <w:rFonts w:ascii="Arial" w:hAnsi="Arial"/>
                  <w:b/>
                  <w:bCs/>
                  <w:noProof w:val="0"/>
                  <w:sz w:val="26"/>
                  <w:szCs w:val="26"/>
                  <w:rtl/>
                </w:rPr>
                <w:alias w:val="1478"/>
                <w:tag w:val="1478"/>
                <w:id w:val="-2037190755"/>
                <w:text w:multiLine="1"/>
              </w:sdtPr>
              <w:sdtEndPr/>
              <w:sdtContent>
                <w:r w:rsidR="00264867">
                  <w:rPr>
                    <w:rFonts w:ascii="Arial" w:hAnsi="Arial" w:hint="cs"/>
                    <w:b/>
                    <w:bCs/>
                    <w:noProof w:val="0"/>
                    <w:sz w:val="26"/>
                    <w:szCs w:val="26"/>
                    <w:rtl/>
                  </w:rPr>
                  <w:t>ק'.צ</w:t>
                </w:r>
              </w:sdtContent>
            </w:sdt>
            <w:r w:rsidR="007434BC" w:rsidRPr="007434BC">
              <w:rPr>
                <w:rFonts w:ascii="Arial" w:hAnsi="Arial" w:hint="cs"/>
                <w:b/>
                <w:bCs/>
                <w:noProof w:val="0"/>
                <w:sz w:val="26"/>
                <w:szCs w:val="26"/>
                <w:rtl/>
              </w:rPr>
              <w:t xml:space="preserve"> </w:t>
            </w:r>
            <w:r w:rsidR="007434BC" w:rsidRPr="007434BC">
              <w:rPr>
                <w:b/>
                <w:bCs/>
                <w:rtl/>
              </w:rPr>
              <w:t xml:space="preserve"> </w:t>
            </w:r>
          </w:p>
          <w:p w:rsidR="007434BC" w:rsidRPr="007434BC" w:rsidRDefault="00D067B5" w:rsidP="00264867">
            <w:pPr>
              <w:pStyle w:val="ad"/>
              <w:numPr>
                <w:ilvl w:val="0"/>
                <w:numId w:val="7"/>
              </w:numPr>
              <w:rPr>
                <w:b/>
                <w:bCs/>
                <w:noProof w:val="0"/>
                <w:sz w:val="26"/>
                <w:szCs w:val="26"/>
              </w:rPr>
            </w:pPr>
            <w:sdt>
              <w:sdtPr>
                <w:rPr>
                  <w:rFonts w:ascii="Arial" w:hAnsi="Arial"/>
                  <w:b/>
                  <w:bCs/>
                  <w:noProof w:val="0"/>
                  <w:sz w:val="26"/>
                  <w:szCs w:val="26"/>
                  <w:rtl/>
                </w:rPr>
                <w:alias w:val="1478"/>
                <w:tag w:val="1478"/>
                <w:id w:val="-1415857937"/>
                <w:text w:multiLine="1"/>
              </w:sdtPr>
              <w:sdtEndPr/>
              <w:sdtContent>
                <w:r w:rsidR="00264867">
                  <w:rPr>
                    <w:rFonts w:ascii="Arial" w:hAnsi="Arial" w:hint="cs"/>
                    <w:b/>
                    <w:bCs/>
                    <w:noProof w:val="0"/>
                    <w:sz w:val="26"/>
                    <w:szCs w:val="26"/>
                    <w:rtl/>
                  </w:rPr>
                  <w:t>ד'.צ</w:t>
                </w:r>
              </w:sdtContent>
            </w:sdt>
            <w:r w:rsidR="007434BC" w:rsidRPr="00E54CD9">
              <w:rPr>
                <w:rFonts w:ascii="Arial" w:hAnsi="Arial" w:hint="cs"/>
                <w:b/>
                <w:bCs/>
                <w:noProof w:val="0"/>
                <w:sz w:val="26"/>
                <w:szCs w:val="26"/>
                <w:rtl/>
              </w:rPr>
              <w:t xml:space="preserve"> </w:t>
            </w:r>
          </w:p>
          <w:p w:rsidR="007434BC" w:rsidRPr="007434BC" w:rsidRDefault="00D067B5" w:rsidP="00264867">
            <w:pPr>
              <w:pStyle w:val="ad"/>
              <w:numPr>
                <w:ilvl w:val="0"/>
                <w:numId w:val="7"/>
              </w:numPr>
              <w:rPr>
                <w:b/>
                <w:bCs/>
                <w:noProof w:val="0"/>
                <w:sz w:val="26"/>
                <w:szCs w:val="26"/>
              </w:rPr>
            </w:pPr>
            <w:sdt>
              <w:sdtPr>
                <w:rPr>
                  <w:rFonts w:ascii="Arial" w:hAnsi="Arial"/>
                  <w:b/>
                  <w:bCs/>
                  <w:noProof w:val="0"/>
                  <w:sz w:val="26"/>
                  <w:szCs w:val="26"/>
                  <w:rtl/>
                </w:rPr>
                <w:alias w:val="1478"/>
                <w:tag w:val="1478"/>
                <w:id w:val="1172366683"/>
                <w:text w:multiLine="1"/>
              </w:sdtPr>
              <w:sdtEndPr/>
              <w:sdtContent>
                <w:r w:rsidR="00264867">
                  <w:rPr>
                    <w:rFonts w:ascii="Arial" w:hAnsi="Arial" w:hint="cs"/>
                    <w:b/>
                    <w:bCs/>
                    <w:noProof w:val="0"/>
                    <w:sz w:val="26"/>
                    <w:szCs w:val="26"/>
                    <w:rtl/>
                  </w:rPr>
                  <w:t>ב'.צ</w:t>
                </w:r>
              </w:sdtContent>
            </w:sdt>
            <w:r w:rsidR="007434BC" w:rsidRPr="007434BC">
              <w:rPr>
                <w:rFonts w:ascii="Arial" w:hAnsi="Arial" w:hint="cs"/>
                <w:b/>
                <w:bCs/>
                <w:noProof w:val="0"/>
                <w:sz w:val="26"/>
                <w:szCs w:val="26"/>
                <w:rtl/>
              </w:rPr>
              <w:t xml:space="preserve"> </w:t>
            </w:r>
          </w:p>
          <w:p w:rsidR="007434BC" w:rsidRPr="00E54CD9" w:rsidRDefault="00B063EB" w:rsidP="00264867">
            <w:pPr>
              <w:pStyle w:val="ad"/>
              <w:numPr>
                <w:ilvl w:val="0"/>
                <w:numId w:val="7"/>
              </w:numPr>
              <w:rPr>
                <w:rFonts w:ascii="Arial" w:hAnsi="Arial"/>
                <w:b/>
                <w:bCs/>
                <w:noProof w:val="0"/>
                <w:sz w:val="26"/>
                <w:szCs w:val="26"/>
              </w:rPr>
            </w:pPr>
            <w:r w:rsidRPr="007434BC">
              <w:rPr>
                <w:rFonts w:ascii="Arial" w:hAnsi="Arial"/>
                <w:b/>
                <w:bCs/>
                <w:noProof w:val="0"/>
                <w:sz w:val="26"/>
                <w:szCs w:val="26"/>
                <w:rtl/>
              </w:rPr>
              <w:t>א</w:t>
            </w:r>
            <w:r w:rsidR="00264867">
              <w:rPr>
                <w:rFonts w:ascii="Arial" w:hAnsi="Arial" w:hint="cs"/>
                <w:b/>
                <w:bCs/>
                <w:noProof w:val="0"/>
                <w:sz w:val="26"/>
                <w:szCs w:val="26"/>
                <w:rtl/>
              </w:rPr>
              <w:t>'.ג</w:t>
            </w:r>
            <w:r w:rsidR="0094424E" w:rsidRPr="007434BC">
              <w:rPr>
                <w:rFonts w:ascii="Arial" w:hAnsi="Arial" w:hint="cs"/>
                <w:b/>
                <w:bCs/>
                <w:noProof w:val="0"/>
                <w:sz w:val="26"/>
                <w:szCs w:val="26"/>
                <w:rtl/>
              </w:rPr>
              <w:t xml:space="preserve"> </w:t>
            </w:r>
            <w:r w:rsidRPr="007434BC">
              <w:rPr>
                <w:rFonts w:ascii="Arial" w:hAnsi="Arial"/>
                <w:b/>
                <w:bCs/>
                <w:noProof w:val="0"/>
                <w:sz w:val="26"/>
                <w:szCs w:val="26"/>
                <w:rtl/>
              </w:rPr>
              <w:t xml:space="preserve"> </w:t>
            </w:r>
            <w:sdt>
              <w:sdtPr>
                <w:rPr>
                  <w:rFonts w:ascii="Arial" w:hAnsi="Arial"/>
                  <w:b/>
                  <w:bCs/>
                  <w:noProof w:val="0"/>
                  <w:sz w:val="26"/>
                  <w:szCs w:val="26"/>
                  <w:rtl/>
                </w:rPr>
                <w:alias w:val="1462"/>
                <w:tag w:val="1462"/>
                <w:id w:val="-175889150"/>
                <w:showingPlcHdr/>
                <w:text w:multiLine="1"/>
              </w:sdtPr>
              <w:sdtEndPr/>
              <w:sdtContent>
                <w:r w:rsidR="007434BC">
                  <w:rPr>
                    <w:rFonts w:ascii="Arial" w:hAnsi="Arial"/>
                    <w:b/>
                    <w:bCs/>
                    <w:noProof w:val="0"/>
                    <w:sz w:val="26"/>
                    <w:szCs w:val="26"/>
                    <w:rtl/>
                  </w:rPr>
                  <w:t xml:space="preserve">     </w:t>
                </w:r>
              </w:sdtContent>
            </w:sdt>
          </w:p>
          <w:p w:rsidR="0094424E" w:rsidRPr="00E54CD9" w:rsidRDefault="0094424E" w:rsidP="007434BC">
            <w:pPr>
              <w:suppressLineNumbers/>
              <w:rPr>
                <w:rFonts w:ascii="Arial" w:hAnsi="Arial"/>
                <w:b/>
                <w:bCs/>
                <w:noProof w:val="0"/>
                <w:sz w:val="26"/>
                <w:szCs w:val="26"/>
                <w:rtl/>
              </w:rPr>
            </w:pPr>
          </w:p>
        </w:tc>
      </w:tr>
      <w:tr w:rsidR="00CF6BB7" w:rsidTr="00280865">
        <w:trPr>
          <w:jc w:val="center"/>
        </w:trPr>
        <w:tc>
          <w:tcPr>
            <w:tcW w:w="8820" w:type="dxa"/>
            <w:gridSpan w:val="4"/>
          </w:tcPr>
          <w:p w:rsidR="00CF6BB7" w:rsidRPr="00996935" w:rsidRDefault="00CF6BB7" w:rsidP="00D44968">
            <w:pPr>
              <w:suppressLineNumbers/>
              <w:rPr>
                <w:rtl/>
              </w:rPr>
            </w:pPr>
          </w:p>
        </w:tc>
      </w:tr>
      <w:tr w:rsidR="00CF6BB7" w:rsidTr="00B063EB">
        <w:trPr>
          <w:jc w:val="center"/>
        </w:trPr>
        <w:tc>
          <w:tcPr>
            <w:tcW w:w="3399" w:type="dxa"/>
            <w:gridSpan w:val="2"/>
          </w:tcPr>
          <w:p w:rsidR="00D4707A" w:rsidRPr="00B063EB" w:rsidRDefault="00B063EB" w:rsidP="00B063EB">
            <w:pPr>
              <w:suppressLineNumbers/>
              <w:rPr>
                <w:rFonts w:ascii="David" w:eastAsia="David" w:hAnsi="David"/>
                <w:b/>
                <w:bCs/>
                <w:noProof w:val="0"/>
              </w:rPr>
            </w:pPr>
            <w:r w:rsidRPr="00B063EB">
              <w:rPr>
                <w:rFonts w:ascii="David" w:eastAsia="David" w:hAnsi="David" w:hint="cs"/>
                <w:b/>
                <w:bCs/>
                <w:noProof w:val="0"/>
                <w:rtl/>
              </w:rPr>
              <w:t>בעניין המנוח</w:t>
            </w:r>
            <w:r w:rsidRPr="00B063EB">
              <w:rPr>
                <w:rFonts w:ascii="David" w:eastAsia="David" w:hAnsi="David"/>
                <w:b/>
                <w:bCs/>
                <w:noProof w:val="0"/>
              </w:rPr>
              <w:t>:</w:t>
            </w:r>
            <w:r>
              <w:rPr>
                <w:rFonts w:ascii="David" w:eastAsia="David" w:hAnsi="David" w:hint="cs"/>
                <w:b/>
                <w:bCs/>
                <w:noProof w:val="0"/>
                <w:rtl/>
              </w:rPr>
              <w:t xml:space="preserve"> </w:t>
            </w:r>
          </w:p>
        </w:tc>
        <w:tc>
          <w:tcPr>
            <w:tcW w:w="5421" w:type="dxa"/>
            <w:gridSpan w:val="2"/>
          </w:tcPr>
          <w:p w:rsidR="00B063EB" w:rsidRPr="00E54CD9" w:rsidRDefault="00D067B5" w:rsidP="00264867">
            <w:pPr>
              <w:suppressLineNumbers/>
              <w:rPr>
                <w:rFonts w:ascii="Arial" w:hAnsi="Arial"/>
                <w:b/>
                <w:bCs/>
                <w:noProof w:val="0"/>
                <w:sz w:val="26"/>
                <w:szCs w:val="26"/>
                <w:rtl/>
              </w:rPr>
            </w:pPr>
            <w:sdt>
              <w:sdtPr>
                <w:rPr>
                  <w:rtl/>
                </w:rPr>
                <w:alias w:val="1486"/>
                <w:tag w:val="1486"/>
                <w:id w:val="-309872140"/>
                <w:text w:multiLine="1"/>
              </w:sdtPr>
              <w:sdtEndPr/>
              <w:sdtContent>
                <w:r w:rsidR="00B063EB">
                  <w:rPr>
                    <w:rFonts w:ascii="Arial" w:hAnsi="Arial"/>
                    <w:b/>
                    <w:bCs/>
                    <w:noProof w:val="0"/>
                    <w:sz w:val="26"/>
                    <w:szCs w:val="26"/>
                    <w:rtl/>
                  </w:rPr>
                  <w:br/>
                  <w:t>ר</w:t>
                </w:r>
                <w:r w:rsidR="00264867">
                  <w:rPr>
                    <w:rFonts w:ascii="Arial" w:hAnsi="Arial" w:hint="cs"/>
                    <w:b/>
                    <w:bCs/>
                    <w:noProof w:val="0"/>
                    <w:sz w:val="26"/>
                    <w:szCs w:val="26"/>
                    <w:rtl/>
                  </w:rPr>
                  <w:t>'.צ</w:t>
                </w:r>
                <w:r w:rsidR="00B063EB">
                  <w:rPr>
                    <w:rFonts w:ascii="Arial" w:hAnsi="Arial" w:hint="cs"/>
                    <w:b/>
                    <w:bCs/>
                    <w:noProof w:val="0"/>
                    <w:sz w:val="26"/>
                    <w:szCs w:val="26"/>
                    <w:rtl/>
                  </w:rPr>
                  <w:t xml:space="preserve"> </w:t>
                </w:r>
              </w:sdtContent>
            </w:sdt>
            <w:r w:rsidR="00B063EB">
              <w:rPr>
                <w:rFonts w:hint="cs"/>
                <w:rtl/>
              </w:rPr>
              <w:t xml:space="preserve"> </w:t>
            </w:r>
            <w:r w:rsidR="00B063EB" w:rsidRPr="00E54CD9">
              <w:rPr>
                <w:rFonts w:ascii="Arial" w:hAnsi="Arial" w:hint="cs"/>
                <w:b/>
                <w:bCs/>
                <w:noProof w:val="0"/>
                <w:sz w:val="26"/>
                <w:szCs w:val="26"/>
                <w:rtl/>
              </w:rPr>
              <w:t xml:space="preserve"> </w:t>
            </w:r>
          </w:p>
          <w:p w:rsidR="00D4707A" w:rsidRPr="00B063EB" w:rsidRDefault="00D4707A">
            <w:pPr>
              <w:rPr>
                <w:b/>
                <w:bCs/>
                <w:sz w:val="26"/>
                <w:szCs w:val="26"/>
              </w:rPr>
            </w:pPr>
          </w:p>
        </w:tc>
      </w:tr>
      <w:tr w:rsidR="004C17EE" w:rsidTr="00D620FD">
        <w:trPr>
          <w:jc w:val="center"/>
        </w:trPr>
        <w:tc>
          <w:tcPr>
            <w:tcW w:w="8820" w:type="dxa"/>
            <w:gridSpan w:val="4"/>
          </w:tcPr>
          <w:p w:rsidR="00D4707A" w:rsidRDefault="00D4707A">
            <w:pPr>
              <w:suppressLineNumbers/>
              <w:rPr>
                <w:rFonts w:ascii="Arial" w:hAnsi="Arial"/>
                <w:b/>
                <w:bCs/>
                <w:noProof w:val="0"/>
                <w:sz w:val="26"/>
                <w:szCs w:val="26"/>
                <w:rtl/>
              </w:rPr>
            </w:pPr>
          </w:p>
        </w:tc>
      </w:tr>
      <w:tr w:rsidR="00694556" w:rsidRPr="00DE1E7D">
        <w:trPr>
          <w:jc w:val="center"/>
        </w:trPr>
        <w:tc>
          <w:tcPr>
            <w:tcW w:w="8820" w:type="dxa"/>
            <w:gridSpan w:val="4"/>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B063EB" w:rsidRDefault="00B063EB" w:rsidP="00B063EB">
      <w:pPr>
        <w:spacing w:line="360" w:lineRule="auto"/>
        <w:jc w:val="both"/>
        <w:rPr>
          <w:rFonts w:ascii="Arial" w:hAnsi="Arial"/>
          <w:noProof w:val="0"/>
        </w:rPr>
      </w:pPr>
      <w:bookmarkStart w:id="0" w:name="NGCSBookmark"/>
      <w:bookmarkEnd w:id="0"/>
      <w:r>
        <w:rPr>
          <w:rFonts w:ascii="Arial" w:hAnsi="Arial"/>
          <w:noProof w:val="0"/>
          <w:rtl/>
        </w:rPr>
        <w:t xml:space="preserve">זוהי החלטה בבקשת המבקשת להוצאת נספחים י', י"ב, י"ג, י"ד ט"ז ו-ט"ז שצורפו לתצהירי עדות ראשית מטעם המשיבים וכן בבקשת המשיבים לזמן עדים לדיון ההוכחות. </w:t>
      </w:r>
    </w:p>
    <w:p w:rsidR="00B063EB" w:rsidRDefault="00B063EB" w:rsidP="00B063EB">
      <w:pPr>
        <w:pStyle w:val="ad"/>
        <w:numPr>
          <w:ilvl w:val="0"/>
          <w:numId w:val="1"/>
        </w:numPr>
        <w:spacing w:line="360" w:lineRule="auto"/>
        <w:jc w:val="both"/>
        <w:rPr>
          <w:rFonts w:ascii="Arial" w:hAnsi="Arial"/>
          <w:b/>
          <w:bCs/>
          <w:noProof w:val="0"/>
          <w:u w:val="single"/>
          <w:rtl/>
        </w:rPr>
      </w:pPr>
      <w:r>
        <w:rPr>
          <w:rFonts w:ascii="Arial" w:hAnsi="Arial"/>
          <w:b/>
          <w:bCs/>
          <w:noProof w:val="0"/>
          <w:u w:val="single"/>
          <w:rtl/>
        </w:rPr>
        <w:t xml:space="preserve">תמצית העובדות הרלוונטיות וההליכים - </w:t>
      </w:r>
    </w:p>
    <w:p w:rsidR="00B063EB" w:rsidRDefault="00264867" w:rsidP="00E43BF7">
      <w:pPr>
        <w:pStyle w:val="ad"/>
        <w:numPr>
          <w:ilvl w:val="0"/>
          <w:numId w:val="2"/>
        </w:numPr>
        <w:spacing w:line="360" w:lineRule="auto"/>
        <w:jc w:val="both"/>
        <w:rPr>
          <w:rFonts w:ascii="Arial" w:hAnsi="Arial"/>
          <w:noProof w:val="0"/>
          <w:rtl/>
        </w:rPr>
      </w:pPr>
      <w:r>
        <w:rPr>
          <w:rFonts w:ascii="Arial" w:hAnsi="Arial"/>
          <w:noProof w:val="0"/>
          <w:rtl/>
        </w:rPr>
        <w:t xml:space="preserve">המנוח, </w:t>
      </w:r>
      <w:r w:rsidR="00E43BF7">
        <w:rPr>
          <w:rFonts w:ascii="Arial" w:hAnsi="Arial" w:hint="cs"/>
          <w:noProof w:val="0"/>
          <w:rtl/>
        </w:rPr>
        <w:t>ר'</w:t>
      </w:r>
      <w:r w:rsidR="00B063EB">
        <w:rPr>
          <w:rFonts w:ascii="Arial" w:hAnsi="Arial"/>
          <w:noProof w:val="0"/>
          <w:rtl/>
        </w:rPr>
        <w:t xml:space="preserve"> ז"ל (להלן: "</w:t>
      </w:r>
      <w:r w:rsidR="00B063EB">
        <w:rPr>
          <w:rFonts w:ascii="Arial" w:hAnsi="Arial"/>
          <w:b/>
          <w:bCs/>
          <w:noProof w:val="0"/>
          <w:rtl/>
        </w:rPr>
        <w:t>המנוח</w:t>
      </w:r>
      <w:r w:rsidR="00E43BF7">
        <w:rPr>
          <w:rFonts w:ascii="Arial" w:hAnsi="Arial"/>
          <w:noProof w:val="0"/>
          <w:rtl/>
        </w:rPr>
        <w:t>") הלך לבית עולמו ביו</w:t>
      </w:r>
      <w:r w:rsidR="00E43BF7">
        <w:rPr>
          <w:rFonts w:ascii="Arial" w:hAnsi="Arial" w:hint="cs"/>
          <w:noProof w:val="0"/>
          <w:rtl/>
        </w:rPr>
        <w:t>ם 22.</w:t>
      </w:r>
      <w:r w:rsidR="00E43BF7">
        <w:rPr>
          <w:rFonts w:ascii="Arial" w:hAnsi="Arial" w:hint="cs"/>
          <w:noProof w:val="0"/>
        </w:rPr>
        <w:t>XXXX</w:t>
      </w:r>
      <w:r w:rsidR="00E43BF7">
        <w:rPr>
          <w:rFonts w:ascii="Arial" w:hAnsi="Arial" w:hint="cs"/>
          <w:noProof w:val="0"/>
          <w:rtl/>
        </w:rPr>
        <w:t>.</w:t>
      </w:r>
    </w:p>
    <w:p w:rsidR="00B063EB" w:rsidRPr="00A80B8A" w:rsidRDefault="00B063EB" w:rsidP="00264867">
      <w:pPr>
        <w:pStyle w:val="ad"/>
        <w:numPr>
          <w:ilvl w:val="0"/>
          <w:numId w:val="2"/>
        </w:numPr>
        <w:spacing w:line="360" w:lineRule="auto"/>
        <w:jc w:val="both"/>
        <w:rPr>
          <w:rFonts w:ascii="Arial" w:hAnsi="Arial"/>
          <w:noProof w:val="0"/>
        </w:rPr>
      </w:pPr>
      <w:r>
        <w:rPr>
          <w:rFonts w:ascii="Arial" w:hAnsi="Arial"/>
          <w:noProof w:val="0"/>
          <w:rtl/>
        </w:rPr>
        <w:t>ביום 11.1.13 ערכו המנוח ובת זוגו, המבקשת, צוואות הדדיות בפני שני עדים- במסגרתן ציוו את רכושם בדרך של "יורש אחר יורש" לבן הזוג שיוותר בחיים, ולאחר פטירתו "לנכדם" של המצווים – ת</w:t>
      </w:r>
      <w:r w:rsidR="00E43BF7">
        <w:rPr>
          <w:rFonts w:ascii="Arial" w:hAnsi="Arial" w:hint="cs"/>
          <w:noProof w:val="0"/>
          <w:rtl/>
        </w:rPr>
        <w:t>'</w:t>
      </w:r>
      <w:r>
        <w:rPr>
          <w:rFonts w:ascii="Arial" w:hAnsi="Arial"/>
          <w:noProof w:val="0"/>
          <w:rtl/>
        </w:rPr>
        <w:t xml:space="preserve"> (לעת ההיא קטין, להלן: "</w:t>
      </w:r>
      <w:r>
        <w:rPr>
          <w:rFonts w:ascii="Arial" w:hAnsi="Arial"/>
          <w:b/>
          <w:bCs/>
          <w:noProof w:val="0"/>
          <w:rtl/>
        </w:rPr>
        <w:t>ת</w:t>
      </w:r>
      <w:r w:rsidR="00264867">
        <w:rPr>
          <w:rFonts w:ascii="Arial" w:hAnsi="Arial" w:hint="cs"/>
          <w:b/>
          <w:bCs/>
          <w:noProof w:val="0"/>
          <w:rtl/>
        </w:rPr>
        <w:t>'</w:t>
      </w:r>
      <w:r>
        <w:rPr>
          <w:rFonts w:ascii="Arial" w:hAnsi="Arial"/>
          <w:noProof w:val="0"/>
          <w:rtl/>
        </w:rPr>
        <w:t>"). כן נקבע כי אם ת</w:t>
      </w:r>
      <w:r w:rsidR="00264867">
        <w:rPr>
          <w:rFonts w:ascii="Arial" w:hAnsi="Arial" w:hint="cs"/>
          <w:noProof w:val="0"/>
          <w:rtl/>
        </w:rPr>
        <w:t>'</w:t>
      </w:r>
      <w:r>
        <w:rPr>
          <w:rFonts w:ascii="Arial" w:hAnsi="Arial"/>
          <w:noProof w:val="0"/>
          <w:rtl/>
        </w:rPr>
        <w:t xml:space="preserve"> ילך לבית עולמו לפני פטירת המצווים, רכושם יעבור בחלקים שווים להוריו של ת</w:t>
      </w:r>
      <w:r w:rsidR="00264867">
        <w:rPr>
          <w:rFonts w:ascii="Arial" w:hAnsi="Arial" w:hint="cs"/>
          <w:noProof w:val="0"/>
          <w:rtl/>
        </w:rPr>
        <w:t>'</w:t>
      </w:r>
      <w:r>
        <w:rPr>
          <w:rFonts w:ascii="Arial" w:hAnsi="Arial"/>
          <w:noProof w:val="0"/>
          <w:rtl/>
        </w:rPr>
        <w:t>- ר</w:t>
      </w:r>
      <w:r w:rsidR="00E43BF7">
        <w:rPr>
          <w:rFonts w:ascii="Arial" w:hAnsi="Arial" w:hint="cs"/>
          <w:noProof w:val="0"/>
          <w:rtl/>
        </w:rPr>
        <w:t>' וע'</w:t>
      </w:r>
      <w:r>
        <w:rPr>
          <w:rFonts w:ascii="Arial" w:hAnsi="Arial"/>
          <w:noProof w:val="0"/>
          <w:rtl/>
        </w:rPr>
        <w:t xml:space="preserve"> (להלן: "</w:t>
      </w:r>
      <w:r>
        <w:rPr>
          <w:rFonts w:ascii="Arial" w:hAnsi="Arial"/>
          <w:b/>
          <w:bCs/>
          <w:noProof w:val="0"/>
          <w:rtl/>
        </w:rPr>
        <w:t>הצוואה</w:t>
      </w:r>
      <w:r>
        <w:rPr>
          <w:rFonts w:ascii="Arial" w:hAnsi="Arial"/>
          <w:noProof w:val="0"/>
          <w:rtl/>
        </w:rPr>
        <w:t>").</w:t>
      </w:r>
      <w:r w:rsidR="00A80B8A">
        <w:rPr>
          <w:rFonts w:ascii="Arial" w:hAnsi="Arial" w:hint="cs"/>
          <w:noProof w:val="0"/>
          <w:rtl/>
        </w:rPr>
        <w:t xml:space="preserve"> </w:t>
      </w:r>
      <w:r w:rsidRPr="00A80B8A">
        <w:rPr>
          <w:rFonts w:ascii="Arial" w:hAnsi="Arial"/>
          <w:noProof w:val="0"/>
          <w:rtl/>
        </w:rPr>
        <w:t xml:space="preserve">הצוואה </w:t>
      </w:r>
      <w:r w:rsidR="00A80B8A">
        <w:rPr>
          <w:rFonts w:ascii="Arial" w:hAnsi="Arial" w:hint="cs"/>
          <w:noProof w:val="0"/>
          <w:rtl/>
        </w:rPr>
        <w:t>הנ"ל</w:t>
      </w:r>
      <w:r w:rsidRPr="00A80B8A">
        <w:rPr>
          <w:rFonts w:ascii="Arial" w:hAnsi="Arial"/>
          <w:noProof w:val="0"/>
          <w:rtl/>
        </w:rPr>
        <w:t xml:space="preserve"> הופקדה ביום 3.7.19 אצל הרשם לענייני ירושה. </w:t>
      </w:r>
    </w:p>
    <w:p w:rsidR="00B063EB" w:rsidRDefault="00B063EB" w:rsidP="00E43BF7">
      <w:pPr>
        <w:pStyle w:val="ad"/>
        <w:numPr>
          <w:ilvl w:val="0"/>
          <w:numId w:val="2"/>
        </w:numPr>
        <w:spacing w:line="360" w:lineRule="auto"/>
        <w:jc w:val="both"/>
        <w:rPr>
          <w:rFonts w:ascii="Arial" w:hAnsi="Arial"/>
          <w:b/>
          <w:bCs/>
          <w:noProof w:val="0"/>
        </w:rPr>
      </w:pPr>
      <w:r>
        <w:rPr>
          <w:rFonts w:ascii="Arial" w:hAnsi="Arial"/>
          <w:noProof w:val="0"/>
          <w:rtl/>
        </w:rPr>
        <w:t>המשיבים 1-4, שהנם ילדיו של ה</w:t>
      </w:r>
      <w:r w:rsidR="00E43BF7">
        <w:rPr>
          <w:rFonts w:ascii="Arial" w:hAnsi="Arial" w:hint="cs"/>
          <w:noProof w:val="0"/>
          <w:rtl/>
        </w:rPr>
        <w:t>מנוח</w:t>
      </w:r>
      <w:r>
        <w:rPr>
          <w:rFonts w:ascii="Arial" w:hAnsi="Arial"/>
          <w:noProof w:val="0"/>
          <w:rtl/>
        </w:rPr>
        <w:t xml:space="preserve"> מנישואיו הראשונים, הגישו התנגדותם לצוואה. </w:t>
      </w:r>
      <w:r>
        <w:rPr>
          <w:rFonts w:ascii="Arial" w:hAnsi="Arial"/>
          <w:b/>
          <w:bCs/>
          <w:noProof w:val="0"/>
          <w:rtl/>
        </w:rPr>
        <w:t>בקצירת האומר טענות המשיבים בהתנגדות הנן כי:</w:t>
      </w:r>
    </w:p>
    <w:p w:rsidR="00B063EB" w:rsidRDefault="00B063EB" w:rsidP="00264867">
      <w:pPr>
        <w:pStyle w:val="ad"/>
        <w:numPr>
          <w:ilvl w:val="0"/>
          <w:numId w:val="3"/>
        </w:numPr>
        <w:spacing w:line="360" w:lineRule="auto"/>
        <w:jc w:val="both"/>
        <w:rPr>
          <w:rFonts w:ascii="Arial" w:hAnsi="Arial"/>
          <w:noProof w:val="0"/>
        </w:rPr>
      </w:pPr>
      <w:r>
        <w:rPr>
          <w:rFonts w:ascii="Arial" w:hAnsi="Arial"/>
          <w:noProof w:val="0"/>
          <w:rtl/>
        </w:rPr>
        <w:t>עזבון המנוח כולל רכוש שהנו "גלגול" כספי מכירת דירת אמם</w:t>
      </w:r>
      <w:r w:rsidR="00264867">
        <w:rPr>
          <w:rFonts w:ascii="Arial" w:hAnsi="Arial"/>
          <w:noProof w:val="0"/>
          <w:rtl/>
        </w:rPr>
        <w:t xml:space="preserve"> המנוחה של המשיבים והמנוח ב</w:t>
      </w:r>
      <w:r w:rsidR="00264867">
        <w:rPr>
          <w:rFonts w:ascii="Arial" w:hAnsi="Arial" w:hint="cs"/>
          <w:noProof w:val="0"/>
          <w:rtl/>
        </w:rPr>
        <w:t>עיר נ'</w:t>
      </w:r>
      <w:r>
        <w:rPr>
          <w:rFonts w:ascii="Arial" w:hAnsi="Arial"/>
          <w:noProof w:val="0"/>
          <w:rtl/>
        </w:rPr>
        <w:t xml:space="preserve"> (להלן: "</w:t>
      </w:r>
      <w:r>
        <w:rPr>
          <w:rFonts w:ascii="Arial" w:hAnsi="Arial"/>
          <w:b/>
          <w:bCs/>
          <w:noProof w:val="0"/>
          <w:rtl/>
        </w:rPr>
        <w:t>דירת נ</w:t>
      </w:r>
      <w:r w:rsidR="00264867">
        <w:rPr>
          <w:rFonts w:ascii="Arial" w:hAnsi="Arial" w:hint="cs"/>
          <w:noProof w:val="0"/>
          <w:rtl/>
        </w:rPr>
        <w:t>'</w:t>
      </w:r>
      <w:r>
        <w:rPr>
          <w:rFonts w:ascii="Arial" w:hAnsi="Arial"/>
          <w:noProof w:val="0"/>
          <w:rtl/>
        </w:rPr>
        <w:t>"). נטען כי עם פטירת האם בשנת 1975, מכירת דירת נ</w:t>
      </w:r>
      <w:r w:rsidR="00264867">
        <w:rPr>
          <w:rFonts w:ascii="Arial" w:hAnsi="Arial" w:hint="cs"/>
          <w:noProof w:val="0"/>
          <w:rtl/>
        </w:rPr>
        <w:t>'</w:t>
      </w:r>
      <w:r>
        <w:rPr>
          <w:rFonts w:ascii="Arial" w:hAnsi="Arial"/>
          <w:noProof w:val="0"/>
          <w:rtl/>
        </w:rPr>
        <w:t xml:space="preserve"> הותנתה בכך שמחצית הדירה תירשם ע"ש המשיבים, אשר היו קטינים לעת ההיא. </w:t>
      </w:r>
      <w:r w:rsidR="00264867">
        <w:rPr>
          <w:rFonts w:ascii="Arial" w:hAnsi="Arial"/>
          <w:noProof w:val="0"/>
          <w:rtl/>
        </w:rPr>
        <w:lastRenderedPageBreak/>
        <w:t>המנוח מכר את דירת נ</w:t>
      </w:r>
      <w:r w:rsidR="00264867">
        <w:rPr>
          <w:rFonts w:ascii="Arial" w:hAnsi="Arial" w:hint="cs"/>
          <w:noProof w:val="0"/>
          <w:rtl/>
        </w:rPr>
        <w:t>'</w:t>
      </w:r>
      <w:r w:rsidR="00264867">
        <w:rPr>
          <w:rFonts w:ascii="Arial" w:hAnsi="Arial"/>
          <w:noProof w:val="0"/>
          <w:rtl/>
        </w:rPr>
        <w:t xml:space="preserve"> ורכש דירה ברחוב הא</w:t>
      </w:r>
      <w:r w:rsidR="00264867">
        <w:rPr>
          <w:rFonts w:ascii="Arial" w:hAnsi="Arial" w:hint="cs"/>
          <w:noProof w:val="0"/>
          <w:rtl/>
        </w:rPr>
        <w:t>'</w:t>
      </w:r>
      <w:r w:rsidR="00264867">
        <w:rPr>
          <w:rFonts w:ascii="Arial" w:hAnsi="Arial"/>
          <w:noProof w:val="0"/>
          <w:rtl/>
        </w:rPr>
        <w:t xml:space="preserve"> ב</w:t>
      </w:r>
      <w:r w:rsidR="00264867">
        <w:rPr>
          <w:rFonts w:ascii="Arial" w:hAnsi="Arial" w:hint="cs"/>
          <w:noProof w:val="0"/>
          <w:rtl/>
        </w:rPr>
        <w:t>עיר ח'</w:t>
      </w:r>
      <w:r>
        <w:rPr>
          <w:rFonts w:ascii="Arial" w:hAnsi="Arial"/>
          <w:noProof w:val="0"/>
          <w:rtl/>
        </w:rPr>
        <w:t xml:space="preserve"> (להלן: "</w:t>
      </w:r>
      <w:r>
        <w:rPr>
          <w:rFonts w:ascii="Arial" w:hAnsi="Arial"/>
          <w:b/>
          <w:bCs/>
          <w:noProof w:val="0"/>
          <w:rtl/>
        </w:rPr>
        <w:t>דירת ח</w:t>
      </w:r>
      <w:r w:rsidR="00264867">
        <w:rPr>
          <w:rFonts w:ascii="Arial" w:hAnsi="Arial" w:hint="cs"/>
          <w:b/>
          <w:bCs/>
          <w:noProof w:val="0"/>
          <w:rtl/>
        </w:rPr>
        <w:t>'</w:t>
      </w:r>
      <w:r>
        <w:rPr>
          <w:rFonts w:ascii="Arial" w:hAnsi="Arial"/>
          <w:noProof w:val="0"/>
          <w:rtl/>
        </w:rPr>
        <w:t>"). בין לבין הת</w:t>
      </w:r>
      <w:r w:rsidR="00264867">
        <w:rPr>
          <w:rFonts w:ascii="Arial" w:hAnsi="Arial"/>
          <w:noProof w:val="0"/>
          <w:rtl/>
        </w:rPr>
        <w:t>חתן המנוח בשנית עם אישה בשם א</w:t>
      </w:r>
      <w:r w:rsidR="00264867">
        <w:rPr>
          <w:rFonts w:ascii="Arial" w:hAnsi="Arial" w:hint="cs"/>
          <w:noProof w:val="0"/>
          <w:rtl/>
        </w:rPr>
        <w:t>'</w:t>
      </w:r>
      <w:r>
        <w:rPr>
          <w:rFonts w:ascii="Arial" w:hAnsi="Arial"/>
          <w:noProof w:val="0"/>
          <w:rtl/>
        </w:rPr>
        <w:t xml:space="preserve"> (להלן: "</w:t>
      </w:r>
      <w:r w:rsidR="00264867">
        <w:rPr>
          <w:rFonts w:ascii="Arial" w:hAnsi="Arial"/>
          <w:b/>
          <w:bCs/>
          <w:noProof w:val="0"/>
          <w:rtl/>
        </w:rPr>
        <w:t>א</w:t>
      </w:r>
      <w:r w:rsidR="00264867">
        <w:rPr>
          <w:rFonts w:ascii="Arial" w:hAnsi="Arial" w:hint="cs"/>
          <w:b/>
          <w:bCs/>
          <w:noProof w:val="0"/>
          <w:rtl/>
        </w:rPr>
        <w:t>'</w:t>
      </w:r>
      <w:r>
        <w:rPr>
          <w:rFonts w:ascii="Arial" w:hAnsi="Arial"/>
          <w:noProof w:val="0"/>
          <w:rtl/>
        </w:rPr>
        <w:t>")- ובפרידתם לאחר מס' שנים הצהיר המנוח בבית הדין הרבני כי חלק מהרכוש שלו שייך למשיבים. המנוח הכיר</w:t>
      </w:r>
      <w:r w:rsidR="00264867">
        <w:rPr>
          <w:rFonts w:ascii="Arial" w:hAnsi="Arial"/>
          <w:noProof w:val="0"/>
          <w:rtl/>
        </w:rPr>
        <w:t xml:space="preserve"> את המבקשת, בזמן שהיה נשוי לא</w:t>
      </w:r>
      <w:r w:rsidR="00264867">
        <w:rPr>
          <w:rFonts w:ascii="Arial" w:hAnsi="Arial" w:hint="cs"/>
          <w:noProof w:val="0"/>
          <w:rtl/>
        </w:rPr>
        <w:t>'</w:t>
      </w:r>
      <w:r>
        <w:rPr>
          <w:rFonts w:ascii="Arial" w:hAnsi="Arial"/>
          <w:noProof w:val="0"/>
          <w:rtl/>
        </w:rPr>
        <w:t xml:space="preserve"> ובשנת 1999 עבר לדירתה ברח' ז'</w:t>
      </w:r>
      <w:r w:rsidR="00264867">
        <w:rPr>
          <w:rFonts w:ascii="Arial" w:hAnsi="Arial"/>
          <w:noProof w:val="0"/>
          <w:rtl/>
        </w:rPr>
        <w:t xml:space="preserve"> בח</w:t>
      </w:r>
      <w:r w:rsidR="00264867">
        <w:rPr>
          <w:rFonts w:ascii="Arial" w:hAnsi="Arial" w:hint="cs"/>
          <w:noProof w:val="0"/>
          <w:rtl/>
        </w:rPr>
        <w:t>'</w:t>
      </w:r>
      <w:r>
        <w:rPr>
          <w:rFonts w:ascii="Arial" w:hAnsi="Arial"/>
          <w:noProof w:val="0"/>
          <w:rtl/>
        </w:rPr>
        <w:t xml:space="preserve"> (להלן: "</w:t>
      </w:r>
      <w:r>
        <w:rPr>
          <w:rFonts w:ascii="Arial" w:hAnsi="Arial"/>
          <w:b/>
          <w:bCs/>
          <w:noProof w:val="0"/>
          <w:rtl/>
        </w:rPr>
        <w:t>דירת המבקשת"</w:t>
      </w:r>
      <w:r>
        <w:rPr>
          <w:rFonts w:ascii="Arial" w:hAnsi="Arial"/>
          <w:noProof w:val="0"/>
          <w:rtl/>
        </w:rPr>
        <w:t>) "והשקיע את כל הכספים שהיו לו ממכירת הדירה וביניהם כספים של מרשיי אשר אין להם ביטוי בצוואה". בתצהירים שהוגשו צוין כי הכספים שימשו לשיפוץ דירת המבקשת.</w:t>
      </w:r>
    </w:p>
    <w:p w:rsidR="00B063EB" w:rsidRDefault="00B063EB" w:rsidP="00EF3CB3">
      <w:pPr>
        <w:pStyle w:val="ad"/>
        <w:numPr>
          <w:ilvl w:val="0"/>
          <w:numId w:val="3"/>
        </w:numPr>
        <w:spacing w:line="360" w:lineRule="auto"/>
        <w:jc w:val="both"/>
        <w:rPr>
          <w:rFonts w:ascii="Arial" w:hAnsi="Arial"/>
          <w:noProof w:val="0"/>
        </w:rPr>
      </w:pPr>
      <w:r>
        <w:rPr>
          <w:rFonts w:ascii="Arial" w:hAnsi="Arial"/>
          <w:noProof w:val="0"/>
          <w:rtl/>
        </w:rPr>
        <w:t>מדובר בצוואה שנערכה תחת השפעה בלתי הוגנת. המבקשת פעלה להרחיק את המנוח</w:t>
      </w:r>
      <w:r w:rsidR="00EF3CB3">
        <w:rPr>
          <w:rFonts w:ascii="Arial" w:hAnsi="Arial"/>
          <w:noProof w:val="0"/>
          <w:rtl/>
        </w:rPr>
        <w:t xml:space="preserve"> מילדיו, להכות אותו ולהתעלל בו</w:t>
      </w:r>
      <w:r>
        <w:rPr>
          <w:rFonts w:ascii="Arial" w:hAnsi="Arial"/>
          <w:noProof w:val="0"/>
          <w:rtl/>
        </w:rPr>
        <w:t xml:space="preserve">. </w:t>
      </w:r>
    </w:p>
    <w:p w:rsidR="00B063EB" w:rsidRDefault="00B063EB" w:rsidP="00B063EB">
      <w:pPr>
        <w:pStyle w:val="ad"/>
        <w:numPr>
          <w:ilvl w:val="0"/>
          <w:numId w:val="3"/>
        </w:numPr>
        <w:spacing w:line="360" w:lineRule="auto"/>
        <w:jc w:val="both"/>
        <w:rPr>
          <w:rFonts w:ascii="Arial" w:hAnsi="Arial"/>
          <w:noProof w:val="0"/>
        </w:rPr>
      </w:pPr>
      <w:r>
        <w:rPr>
          <w:rFonts w:ascii="Arial" w:hAnsi="Arial"/>
          <w:noProof w:val="0"/>
          <w:rtl/>
        </w:rPr>
        <w:t xml:space="preserve">המנוח לא היה כשיר לחתום על הצוואה- המנוח היה אדם אלכוהוליסט, בעל בעיות שכרות בעת החתימה על הצוואה שלא אפשרו לו לחשוב בדעה צלולה. </w:t>
      </w:r>
    </w:p>
    <w:p w:rsidR="00B063EB" w:rsidRDefault="00B063EB" w:rsidP="00B063EB">
      <w:pPr>
        <w:pStyle w:val="ad"/>
        <w:numPr>
          <w:ilvl w:val="0"/>
          <w:numId w:val="3"/>
        </w:numPr>
        <w:spacing w:line="360" w:lineRule="auto"/>
        <w:jc w:val="both"/>
        <w:rPr>
          <w:rFonts w:ascii="Arial" w:hAnsi="Arial"/>
          <w:noProof w:val="0"/>
        </w:rPr>
      </w:pPr>
      <w:r>
        <w:rPr>
          <w:rFonts w:ascii="Arial" w:hAnsi="Arial"/>
          <w:noProof w:val="0"/>
          <w:rtl/>
        </w:rPr>
        <w:t>החתימה על גבי הצוואה מזויפת, שכן המנוח לעולם לא היה חותם בשפה הצרפתית.</w:t>
      </w:r>
    </w:p>
    <w:p w:rsidR="00B063EB" w:rsidRDefault="00B063EB" w:rsidP="00B063EB">
      <w:pPr>
        <w:pStyle w:val="ad"/>
        <w:numPr>
          <w:ilvl w:val="0"/>
          <w:numId w:val="2"/>
        </w:numPr>
        <w:spacing w:line="360" w:lineRule="auto"/>
        <w:jc w:val="both"/>
        <w:rPr>
          <w:rFonts w:ascii="Arial" w:hAnsi="Arial"/>
          <w:b/>
          <w:bCs/>
          <w:noProof w:val="0"/>
        </w:rPr>
      </w:pPr>
      <w:r>
        <w:rPr>
          <w:rFonts w:ascii="Arial" w:hAnsi="Arial"/>
          <w:b/>
          <w:bCs/>
          <w:noProof w:val="0"/>
          <w:rtl/>
        </w:rPr>
        <w:t>המבקשת בתגובתה להתנגדות טענה, בין היתר, כי-</w:t>
      </w:r>
    </w:p>
    <w:p w:rsidR="00EF3CB3" w:rsidRDefault="00EF3CB3" w:rsidP="00EF3CB3">
      <w:pPr>
        <w:pStyle w:val="ad"/>
        <w:numPr>
          <w:ilvl w:val="0"/>
          <w:numId w:val="3"/>
        </w:numPr>
        <w:spacing w:line="360" w:lineRule="auto"/>
        <w:jc w:val="both"/>
        <w:rPr>
          <w:rFonts w:ascii="Arial" w:hAnsi="Arial"/>
          <w:noProof w:val="0"/>
        </w:rPr>
      </w:pPr>
      <w:r>
        <w:rPr>
          <w:rFonts w:ascii="Arial" w:hAnsi="Arial"/>
          <w:noProof w:val="0"/>
          <w:rtl/>
        </w:rPr>
        <w:t>הצוואה נחתמה 10 שנים טרם פטירת המנוח, בפני עדים ואף הופקדה כדבעי אצל הרשם לענייני ירושה. המנוח נהג לחתום בצרפתית, שפה בה קרא וכתב</w:t>
      </w:r>
      <w:r>
        <w:rPr>
          <w:rFonts w:ascii="Arial" w:hAnsi="Arial" w:hint="cs"/>
          <w:noProof w:val="0"/>
          <w:rtl/>
        </w:rPr>
        <w:t>.</w:t>
      </w:r>
    </w:p>
    <w:p w:rsidR="00B063EB" w:rsidRPr="00EF3CB3" w:rsidRDefault="00B063EB" w:rsidP="00EF3CB3">
      <w:pPr>
        <w:pStyle w:val="ad"/>
        <w:numPr>
          <w:ilvl w:val="0"/>
          <w:numId w:val="3"/>
        </w:numPr>
        <w:spacing w:line="360" w:lineRule="auto"/>
        <w:jc w:val="both"/>
        <w:rPr>
          <w:rFonts w:ascii="Arial" w:hAnsi="Arial"/>
          <w:noProof w:val="0"/>
        </w:rPr>
      </w:pPr>
      <w:r>
        <w:rPr>
          <w:rFonts w:ascii="Arial" w:hAnsi="Arial"/>
          <w:noProof w:val="0"/>
          <w:rtl/>
        </w:rPr>
        <w:t xml:space="preserve">ההתנגדות לא מגלה כל עילה משפטית או עובדתית שיש בה כדי לפגום בצוואה לטובת בת זוגו </w:t>
      </w:r>
      <w:r w:rsidR="00EF3CB3">
        <w:rPr>
          <w:rFonts w:ascii="Arial" w:hAnsi="Arial"/>
          <w:noProof w:val="0"/>
          <w:rtl/>
        </w:rPr>
        <w:t>מעל 35 שנים, שטיפלה בו במסירות</w:t>
      </w:r>
      <w:r w:rsidR="00EF3CB3">
        <w:rPr>
          <w:rFonts w:ascii="Arial" w:hAnsi="Arial" w:hint="cs"/>
          <w:noProof w:val="0"/>
          <w:rtl/>
        </w:rPr>
        <w:t xml:space="preserve"> והמנוח ראה בילדיה כילדיו. מנגד, </w:t>
      </w:r>
      <w:r w:rsidRPr="00EF3CB3">
        <w:rPr>
          <w:rFonts w:ascii="Arial" w:hAnsi="Arial"/>
          <w:noProof w:val="0"/>
          <w:rtl/>
        </w:rPr>
        <w:t>המשיבים כלל לא היו בקשר עם המנוח לאורך שנים. רק בסמוך למועד פטירתו, ומתוך בצע כסף ביקשו המשיבים בחלוף 30 שנים של נתק להתמנות כאפוטרופוסים עליו (ובקשה זו נמחקה על ידם בהמשך).</w:t>
      </w:r>
      <w:r w:rsidR="00EF3CB3">
        <w:rPr>
          <w:rFonts w:ascii="Arial" w:hAnsi="Arial" w:hint="cs"/>
          <w:noProof w:val="0"/>
          <w:rtl/>
        </w:rPr>
        <w:t xml:space="preserve"> </w:t>
      </w:r>
      <w:r w:rsidRPr="00EF3CB3">
        <w:rPr>
          <w:rFonts w:ascii="Arial" w:hAnsi="Arial"/>
          <w:noProof w:val="0"/>
          <w:rtl/>
        </w:rPr>
        <w:t xml:space="preserve">המשיבים הם שהתנהלו באלימות כלפי המבקשת בגינה אף ניתן בעבר צו הגנה. </w:t>
      </w:r>
    </w:p>
    <w:p w:rsidR="00B063EB" w:rsidRPr="00EF3CB3" w:rsidRDefault="00264867" w:rsidP="00EF3CB3">
      <w:pPr>
        <w:pStyle w:val="ad"/>
        <w:numPr>
          <w:ilvl w:val="0"/>
          <w:numId w:val="3"/>
        </w:numPr>
        <w:spacing w:line="360" w:lineRule="auto"/>
        <w:jc w:val="both"/>
        <w:rPr>
          <w:rFonts w:ascii="Arial" w:hAnsi="Arial"/>
          <w:noProof w:val="0"/>
        </w:rPr>
      </w:pPr>
      <w:r>
        <w:rPr>
          <w:rFonts w:ascii="Arial" w:hAnsi="Arial"/>
          <w:noProof w:val="0"/>
          <w:rtl/>
        </w:rPr>
        <w:t>הדירה ברח' ז'</w:t>
      </w:r>
      <w:r w:rsidR="00B063EB">
        <w:rPr>
          <w:rFonts w:ascii="Arial" w:hAnsi="Arial"/>
          <w:noProof w:val="0"/>
          <w:rtl/>
        </w:rPr>
        <w:t xml:space="preserve"> הנה דירתה של המבקשת בלבד, אשר נרכשה לאחר גירושיה ממקורות כספיים שקיבלה מהגירושין ולמנוח לא היה כל חלק מהסכם המכר (צורף הסכם מיום 25.8.93 ונסח טאבו).  למבקשת אין ידיעה באשר לטענות הצדדים ביחס לרכוש עבר, וככל שלמשיבים טענות- היה עליהם לנקוט בהליך המתאים כנגד אביהם לפני כ-50 שנים. טענות אלו התיישנו ואין להן כל נגיעה לצוואת המנוח ובוודאי שאינן מהוות עילת התנגדות לצוואת המנוח. </w:t>
      </w:r>
      <w:r w:rsidR="00B063EB" w:rsidRPr="00EF3CB3">
        <w:rPr>
          <w:rFonts w:ascii="Arial" w:hAnsi="Arial"/>
          <w:noProof w:val="0"/>
          <w:rtl/>
        </w:rPr>
        <w:t xml:space="preserve">המנוח מעולם לא טען לזכויות בדירת המבקשת ואף הוריש לה ממילא כל רכושו בצוואה. </w:t>
      </w:r>
    </w:p>
    <w:p w:rsidR="00B063EB" w:rsidRDefault="00B063EB" w:rsidP="00B063EB">
      <w:pPr>
        <w:pStyle w:val="ad"/>
        <w:numPr>
          <w:ilvl w:val="0"/>
          <w:numId w:val="3"/>
        </w:numPr>
        <w:spacing w:line="360" w:lineRule="auto"/>
        <w:jc w:val="both"/>
        <w:rPr>
          <w:rFonts w:ascii="Arial" w:hAnsi="Arial"/>
          <w:noProof w:val="0"/>
        </w:rPr>
      </w:pPr>
      <w:r>
        <w:rPr>
          <w:rFonts w:ascii="Arial" w:hAnsi="Arial"/>
          <w:noProof w:val="0"/>
          <w:rtl/>
        </w:rPr>
        <w:t>המנוח לא היה אלכוהוליסט והוא היה כשיר לחתום על צוואה בשנת 2013 – צורף מסמך רפואי מיום 1.7.21 שמעיד לטענת המבקשת כי המנוח היה צלול וכשיר בשנת 2021 וכי אינו שותה אלכוהול בכלל משנת 2009.</w:t>
      </w:r>
    </w:p>
    <w:p w:rsidR="00B063EB" w:rsidRDefault="00B063EB" w:rsidP="00B063EB">
      <w:pPr>
        <w:pStyle w:val="ad"/>
        <w:numPr>
          <w:ilvl w:val="0"/>
          <w:numId w:val="2"/>
        </w:numPr>
        <w:spacing w:line="360" w:lineRule="auto"/>
        <w:jc w:val="both"/>
        <w:rPr>
          <w:rFonts w:ascii="Arial" w:hAnsi="Arial"/>
          <w:noProof w:val="0"/>
        </w:rPr>
      </w:pPr>
      <w:r>
        <w:rPr>
          <w:rFonts w:ascii="Arial" w:hAnsi="Arial"/>
          <w:noProof w:val="0"/>
          <w:rtl/>
        </w:rPr>
        <w:t>בדיון שנערך בין הצדדים ביום 3.12.23 ניתן</w:t>
      </w:r>
      <w:r w:rsidR="00EF3CB3">
        <w:rPr>
          <w:rFonts w:ascii="Arial" w:hAnsi="Arial" w:hint="cs"/>
          <w:noProof w:val="0"/>
          <w:rtl/>
        </w:rPr>
        <w:t>, לבקשת המשיבים,</w:t>
      </w:r>
      <w:r>
        <w:rPr>
          <w:rFonts w:ascii="Arial" w:hAnsi="Arial"/>
          <w:noProof w:val="0"/>
          <w:rtl/>
        </w:rPr>
        <w:t xml:space="preserve"> צו גילוי מסמכים רפואיים של המנוח ובהמשך נתנו צווים נוספים על יסוד אותם טעמים. המבקשת ביקשה לחייב את המשיבים בהפקדת ערבון להבטחת הוצאות המשפט והמותב הקודם נעתר לבקשה כדלקמן:</w:t>
      </w:r>
    </w:p>
    <w:p w:rsidR="00B063EB" w:rsidRDefault="00B063EB" w:rsidP="00B063EB">
      <w:pPr>
        <w:pStyle w:val="ad"/>
        <w:spacing w:line="360" w:lineRule="auto"/>
        <w:ind w:left="1440"/>
        <w:jc w:val="both"/>
        <w:rPr>
          <w:b/>
          <w:bCs/>
          <w:sz w:val="22"/>
          <w:szCs w:val="22"/>
        </w:rPr>
      </w:pPr>
      <w:r>
        <w:rPr>
          <w:b/>
          <w:bCs/>
          <w:sz w:val="22"/>
          <w:szCs w:val="22"/>
          <w:rtl/>
        </w:rPr>
        <w:lastRenderedPageBreak/>
        <w:t xml:space="preserve">"לאחר ששקלתי האיזון בין זכות המתנגדים להגשת ההתנגדות והבטחת זכות הגישה לערכאות ובין זכותה של המבקשת להבטיח את הוצאותיה בהליך זה, ולאחר שבחנתי אף את סיכויו ומורכבותו של ההליך, בהינתן אף המסמכים שהיו בפניי בשלב זה, לרבות: </w:t>
      </w:r>
    </w:p>
    <w:p w:rsidR="00B063EB" w:rsidRDefault="00B063EB" w:rsidP="00B063EB">
      <w:pPr>
        <w:pStyle w:val="ad"/>
        <w:numPr>
          <w:ilvl w:val="0"/>
          <w:numId w:val="4"/>
        </w:numPr>
        <w:spacing w:line="360" w:lineRule="auto"/>
        <w:ind w:left="1440"/>
        <w:jc w:val="both"/>
        <w:rPr>
          <w:b/>
          <w:bCs/>
          <w:sz w:val="22"/>
          <w:szCs w:val="22"/>
        </w:rPr>
      </w:pPr>
      <w:r>
        <w:rPr>
          <w:b/>
          <w:bCs/>
          <w:sz w:val="22"/>
          <w:szCs w:val="22"/>
          <w:rtl/>
        </w:rPr>
        <w:t xml:space="preserve">תצהיר עורך הצוואה. </w:t>
      </w:r>
    </w:p>
    <w:p w:rsidR="00B063EB" w:rsidRDefault="00B063EB" w:rsidP="00B063EB">
      <w:pPr>
        <w:pStyle w:val="ad"/>
        <w:numPr>
          <w:ilvl w:val="0"/>
          <w:numId w:val="4"/>
        </w:numPr>
        <w:spacing w:line="360" w:lineRule="auto"/>
        <w:ind w:left="1440"/>
        <w:jc w:val="both"/>
        <w:rPr>
          <w:b/>
          <w:bCs/>
          <w:sz w:val="22"/>
          <w:szCs w:val="22"/>
          <w:rtl/>
        </w:rPr>
      </w:pPr>
      <w:r>
        <w:rPr>
          <w:b/>
          <w:bCs/>
          <w:sz w:val="22"/>
          <w:szCs w:val="22"/>
          <w:rtl/>
        </w:rPr>
        <w:t xml:space="preserve">עריכת הצוואה כ-9 שנים טרם הפטירה. </w:t>
      </w:r>
    </w:p>
    <w:p w:rsidR="00B063EB" w:rsidRDefault="00B063EB" w:rsidP="00B063EB">
      <w:pPr>
        <w:pStyle w:val="ad"/>
        <w:numPr>
          <w:ilvl w:val="0"/>
          <w:numId w:val="4"/>
        </w:numPr>
        <w:spacing w:line="360" w:lineRule="auto"/>
        <w:ind w:left="1440"/>
        <w:jc w:val="both"/>
        <w:rPr>
          <w:b/>
          <w:bCs/>
          <w:sz w:val="22"/>
          <w:szCs w:val="22"/>
        </w:rPr>
      </w:pPr>
      <w:r>
        <w:rPr>
          <w:b/>
          <w:bCs/>
          <w:sz w:val="22"/>
          <w:szCs w:val="22"/>
          <w:rtl/>
        </w:rPr>
        <w:t xml:space="preserve">אמירות שונות בהליכים קודמים (ה"ט 58579-05-22), בדבר היעדר קשר של מי מהמתנגדים עם המנוח לאורך שנים ארוכות וההליך שהתקיים שם, כמו גם הליך נוסף א"פ 19577-05-22 . </w:t>
      </w:r>
    </w:p>
    <w:p w:rsidR="00B063EB" w:rsidRDefault="00B063EB" w:rsidP="00B063EB">
      <w:pPr>
        <w:pStyle w:val="ad"/>
        <w:numPr>
          <w:ilvl w:val="0"/>
          <w:numId w:val="4"/>
        </w:numPr>
        <w:spacing w:line="360" w:lineRule="auto"/>
        <w:ind w:left="1440"/>
        <w:jc w:val="both"/>
        <w:rPr>
          <w:b/>
          <w:bCs/>
          <w:sz w:val="22"/>
          <w:szCs w:val="22"/>
        </w:rPr>
      </w:pPr>
      <w:r>
        <w:rPr>
          <w:b/>
          <w:bCs/>
          <w:sz w:val="22"/>
          <w:szCs w:val="22"/>
          <w:rtl/>
        </w:rPr>
        <w:t>היקף העיזבון לכאורה</w:t>
      </w:r>
    </w:p>
    <w:p w:rsidR="00B063EB" w:rsidRDefault="00B063EB" w:rsidP="00B063EB">
      <w:pPr>
        <w:pStyle w:val="ad"/>
        <w:spacing w:line="360" w:lineRule="auto"/>
        <w:ind w:left="1440"/>
        <w:jc w:val="both"/>
        <w:rPr>
          <w:b/>
          <w:bCs/>
          <w:sz w:val="22"/>
          <w:szCs w:val="22"/>
        </w:rPr>
      </w:pPr>
      <w:r>
        <w:rPr>
          <w:b/>
          <w:bCs/>
          <w:sz w:val="22"/>
          <w:szCs w:val="22"/>
          <w:rtl/>
        </w:rPr>
        <w:t>הריני קובעת, כי על המתנגדים להפקיד בקופת בי"מ ערובה  להבטחת הוצאות ע"ס של 8,000 ₪. הפקדה תבוצע בתוך 60 ימים מהיום, כתנאי לקיום ההליך. " (ההדגשה במקור).</w:t>
      </w:r>
    </w:p>
    <w:p w:rsidR="00B063EB" w:rsidRDefault="00B063EB" w:rsidP="007434BC">
      <w:pPr>
        <w:pStyle w:val="ad"/>
        <w:spacing w:line="360" w:lineRule="auto"/>
        <w:jc w:val="both"/>
        <w:rPr>
          <w:rFonts w:ascii="Arial" w:hAnsi="Arial"/>
          <w:noProof w:val="0"/>
          <w:rtl/>
        </w:rPr>
      </w:pPr>
      <w:r>
        <w:rPr>
          <w:rFonts w:ascii="Arial" w:hAnsi="Arial"/>
          <w:noProof w:val="0"/>
          <w:rtl/>
        </w:rPr>
        <w:t>בע</w:t>
      </w:r>
      <w:r w:rsidR="007434BC">
        <w:rPr>
          <w:rFonts w:ascii="Arial" w:hAnsi="Arial"/>
          <w:noProof w:val="0"/>
          <w:rtl/>
        </w:rPr>
        <w:t>ניין זה ולמען הסדר הטוב ראיתי ל</w:t>
      </w:r>
      <w:r w:rsidR="007434BC">
        <w:rPr>
          <w:rFonts w:ascii="Arial" w:hAnsi="Arial" w:hint="cs"/>
          <w:noProof w:val="0"/>
          <w:rtl/>
        </w:rPr>
        <w:t>ציין</w:t>
      </w:r>
      <w:r>
        <w:rPr>
          <w:rFonts w:ascii="Arial" w:hAnsi="Arial"/>
          <w:noProof w:val="0"/>
          <w:rtl/>
        </w:rPr>
        <w:t xml:space="preserve"> כי סכום העירבון שנקבע להבטחת הוצאות- אין בו כדי להעיד על גובה ההוצאות שיש ו</w:t>
      </w:r>
      <w:r w:rsidR="007434BC">
        <w:rPr>
          <w:rFonts w:ascii="Arial" w:hAnsi="Arial" w:hint="cs"/>
          <w:noProof w:val="0"/>
          <w:rtl/>
        </w:rPr>
        <w:t xml:space="preserve">תפסקנה </w:t>
      </w:r>
      <w:r>
        <w:rPr>
          <w:rFonts w:ascii="Arial" w:hAnsi="Arial"/>
          <w:noProof w:val="0"/>
          <w:rtl/>
        </w:rPr>
        <w:t xml:space="preserve">בסופו של הליך ואלו יפסקו כמובן על יסוד תוצאתו ואופן ניהולו. </w:t>
      </w:r>
    </w:p>
    <w:p w:rsidR="00B063EB" w:rsidRDefault="00B063EB" w:rsidP="00EF3CB3">
      <w:pPr>
        <w:pStyle w:val="ad"/>
        <w:numPr>
          <w:ilvl w:val="0"/>
          <w:numId w:val="2"/>
        </w:numPr>
        <w:spacing w:line="360" w:lineRule="auto"/>
        <w:jc w:val="both"/>
        <w:rPr>
          <w:noProof w:val="0"/>
        </w:rPr>
      </w:pPr>
      <w:r>
        <w:rPr>
          <w:rFonts w:ascii="Arial" w:hAnsi="Arial"/>
          <w:noProof w:val="0"/>
          <w:rtl/>
        </w:rPr>
        <w:t>בתום הדיון</w:t>
      </w:r>
      <w:r w:rsidR="00EF3CB3">
        <w:rPr>
          <w:rFonts w:ascii="Arial" w:hAnsi="Arial"/>
          <w:noProof w:val="0"/>
          <w:rtl/>
        </w:rPr>
        <w:t xml:space="preserve"> מיום 3.12.23 נקבע מועד הוכחות </w:t>
      </w:r>
      <w:r>
        <w:rPr>
          <w:rFonts w:ascii="Arial" w:hAnsi="Arial"/>
          <w:noProof w:val="0"/>
          <w:rtl/>
        </w:rPr>
        <w:t>ונתנו הוראות על הגשת תצהירי עדות ראשית (הוקצו לכל הפחות  60 ימים לכל צד להגשת תצהירים עיקריים ונתנה אפשרות להגשת תצהירי עדות משלימים בחלוף 60 ימים נוספים</w:t>
      </w:r>
      <w:r w:rsidR="007434BC">
        <w:rPr>
          <w:rFonts w:ascii="Arial" w:hAnsi="Arial" w:hint="cs"/>
          <w:noProof w:val="0"/>
          <w:rtl/>
        </w:rPr>
        <w:t>)</w:t>
      </w:r>
      <w:r>
        <w:rPr>
          <w:rFonts w:ascii="Arial" w:hAnsi="Arial"/>
          <w:noProof w:val="0"/>
          <w:rtl/>
        </w:rPr>
        <w:t xml:space="preserve">. </w:t>
      </w:r>
    </w:p>
    <w:p w:rsidR="00B063EB" w:rsidRDefault="00B063EB" w:rsidP="00B063EB">
      <w:pPr>
        <w:pStyle w:val="ad"/>
        <w:numPr>
          <w:ilvl w:val="0"/>
          <w:numId w:val="2"/>
        </w:numPr>
        <w:spacing w:line="360" w:lineRule="auto"/>
        <w:jc w:val="both"/>
        <w:rPr>
          <w:rFonts w:ascii="Arial" w:hAnsi="Arial"/>
          <w:noProof w:val="0"/>
        </w:rPr>
      </w:pPr>
      <w:r>
        <w:rPr>
          <w:rFonts w:ascii="Arial" w:hAnsi="Arial"/>
          <w:noProof w:val="0"/>
          <w:rtl/>
        </w:rPr>
        <w:t xml:space="preserve">המשיבים הגישו בקשה למתן אורכה להגשת תצהירים מטעמם עד ליום 15.8.24, על מנת לסיים לאסוף אסמכתאות רפואיות ואחרות. בהחלטה מיום 7.7.24, נעתר בית המשפט לבקשת הארכה אולם צוין בהחלטה נוספת מאותו היום כי: </w:t>
      </w:r>
    </w:p>
    <w:p w:rsidR="00B063EB" w:rsidRDefault="00B063EB" w:rsidP="00B063EB">
      <w:pPr>
        <w:pStyle w:val="ad"/>
        <w:spacing w:line="360" w:lineRule="auto"/>
        <w:ind w:left="1440"/>
        <w:jc w:val="both"/>
        <w:rPr>
          <w:rFonts w:ascii="Arial" w:hAnsi="Arial"/>
          <w:b/>
          <w:bCs/>
          <w:noProof w:val="0"/>
          <w:sz w:val="22"/>
          <w:szCs w:val="22"/>
        </w:rPr>
      </w:pPr>
      <w:r>
        <w:rPr>
          <w:rFonts w:ascii="Arial" w:hAnsi="Arial"/>
          <w:b/>
          <w:bCs/>
          <w:noProof w:val="0"/>
          <w:sz w:val="22"/>
          <w:szCs w:val="22"/>
          <w:rtl/>
        </w:rPr>
        <w:t>"המבקשים ציינו כי הם עומלים על הגשת חוו"ד מומחה, אולם לא ברור מדוע לא פנו עד כה בכל בקשה בעניין בשים לב להוראות הדין בכל הנוגע להגשת חוות דעת מומחה בבית המשפט לענייני משפחה ולשלב בו מצוי ההליך... ככל שמבוקש למנות מומחה יש להגיש בקשה לא יאוחר ממועד הגשת התצהיר! אבהיר כי ככל שיתברר כי התנהלות הצדדים תוביל לדחיית מועד ההוכחות הקבוע ו/או להארכת הדיון שלא לצורך – יש ויהיה בכך כדי להשפיע על פסיקת ההוצאות בסופו של הליך".</w:t>
      </w:r>
    </w:p>
    <w:p w:rsidR="00B063EB" w:rsidRDefault="00B063EB" w:rsidP="007109B0">
      <w:pPr>
        <w:pStyle w:val="ad"/>
        <w:numPr>
          <w:ilvl w:val="0"/>
          <w:numId w:val="2"/>
        </w:numPr>
        <w:spacing w:line="360" w:lineRule="auto"/>
        <w:jc w:val="both"/>
        <w:rPr>
          <w:rFonts w:ascii="Arial" w:hAnsi="Arial"/>
          <w:b/>
          <w:bCs/>
          <w:noProof w:val="0"/>
          <w:sz w:val="22"/>
          <w:szCs w:val="22"/>
        </w:rPr>
      </w:pPr>
      <w:r>
        <w:rPr>
          <w:rFonts w:ascii="Arial" w:hAnsi="Arial"/>
          <w:noProof w:val="0"/>
          <w:rtl/>
        </w:rPr>
        <w:t>ב</w:t>
      </w:r>
      <w:r w:rsidR="007109B0">
        <w:rPr>
          <w:rFonts w:ascii="Arial" w:hAnsi="Arial" w:hint="cs"/>
          <w:noProof w:val="0"/>
          <w:rtl/>
        </w:rPr>
        <w:t>הודעה מיום 10.7.24 ציינו המשיבים כי בכוונתם לצרף חוות דעת לתצהיר העדות הראשית מטעמם. בהחלטה שנתנה באותו היום נקבע</w:t>
      </w:r>
      <w:r>
        <w:rPr>
          <w:rFonts w:ascii="Arial" w:hAnsi="Arial"/>
          <w:noProof w:val="0"/>
          <w:rtl/>
        </w:rPr>
        <w:t xml:space="preserve"> כי</w:t>
      </w:r>
      <w:r>
        <w:rPr>
          <w:rFonts w:ascii="Arial" w:hAnsi="Arial"/>
          <w:b/>
          <w:bCs/>
          <w:noProof w:val="0"/>
          <w:sz w:val="22"/>
          <w:szCs w:val="22"/>
          <w:rtl/>
        </w:rPr>
        <w:t xml:space="preserve">: </w:t>
      </w:r>
    </w:p>
    <w:p w:rsidR="00B063EB" w:rsidRDefault="00B063EB" w:rsidP="00B063EB">
      <w:pPr>
        <w:pStyle w:val="ad"/>
        <w:spacing w:line="360" w:lineRule="auto"/>
        <w:ind w:left="1440"/>
        <w:jc w:val="both"/>
        <w:rPr>
          <w:rFonts w:ascii="Arial" w:hAnsi="Arial"/>
          <w:b/>
          <w:bCs/>
          <w:noProof w:val="0"/>
          <w:sz w:val="22"/>
          <w:szCs w:val="22"/>
        </w:rPr>
      </w:pPr>
      <w:r>
        <w:rPr>
          <w:rFonts w:ascii="Arial" w:hAnsi="Arial"/>
          <w:b/>
          <w:bCs/>
          <w:noProof w:val="0"/>
          <w:sz w:val="22"/>
          <w:szCs w:val="22"/>
          <w:rtl/>
        </w:rPr>
        <w:t>"כאמור בהחלטות קודמות – על הצדדים לפעול בכל הנוגע לחוות דעת מומחה בהתאם להוראות הדין הרלוונטיות- תקנה 25(ח) לתקנות בית המשפט לענייני משפחה (סדרי דין), התשפ"א-2020."</w:t>
      </w:r>
    </w:p>
    <w:p w:rsidR="00B063EB" w:rsidRDefault="00B063EB" w:rsidP="007109B0">
      <w:pPr>
        <w:pStyle w:val="ad"/>
        <w:numPr>
          <w:ilvl w:val="0"/>
          <w:numId w:val="2"/>
        </w:numPr>
        <w:spacing w:line="360" w:lineRule="auto"/>
        <w:jc w:val="both"/>
        <w:rPr>
          <w:rFonts w:ascii="Arial" w:hAnsi="Arial"/>
          <w:b/>
          <w:bCs/>
          <w:noProof w:val="0"/>
          <w:sz w:val="22"/>
          <w:szCs w:val="22"/>
        </w:rPr>
      </w:pPr>
      <w:r>
        <w:rPr>
          <w:rFonts w:ascii="Arial" w:hAnsi="Arial"/>
          <w:noProof w:val="0"/>
          <w:rtl/>
        </w:rPr>
        <w:t xml:space="preserve">ביום 14.8.24 הוגשה בקשה נוספת להארכת מועד להגשת תצהיר עדות ראשית מן הטעם שהמומחית טרם סיימה חוות דעתה. בהחלטה שנתנה באותו היום </w:t>
      </w:r>
      <w:r w:rsidR="007109B0">
        <w:rPr>
          <w:rFonts w:ascii="Arial" w:hAnsi="Arial" w:hint="cs"/>
          <w:noProof w:val="0"/>
          <w:rtl/>
        </w:rPr>
        <w:t>נקבע כי</w:t>
      </w:r>
      <w:r>
        <w:rPr>
          <w:rFonts w:ascii="Arial" w:hAnsi="Arial"/>
          <w:noProof w:val="0"/>
          <w:rtl/>
        </w:rPr>
        <w:t xml:space="preserve">: </w:t>
      </w:r>
    </w:p>
    <w:p w:rsidR="00B063EB" w:rsidRDefault="00B063EB" w:rsidP="00B063EB">
      <w:pPr>
        <w:pStyle w:val="ad"/>
        <w:spacing w:line="360" w:lineRule="auto"/>
        <w:ind w:left="1440"/>
        <w:jc w:val="both"/>
        <w:rPr>
          <w:rFonts w:ascii="Arial" w:hAnsi="Arial"/>
          <w:b/>
          <w:bCs/>
          <w:noProof w:val="0"/>
          <w:sz w:val="22"/>
          <w:szCs w:val="22"/>
        </w:rPr>
      </w:pPr>
      <w:r>
        <w:rPr>
          <w:rFonts w:ascii="Arial" w:hAnsi="Arial"/>
          <w:b/>
          <w:bCs/>
          <w:noProof w:val="0"/>
          <w:sz w:val="22"/>
          <w:szCs w:val="22"/>
          <w:rtl/>
        </w:rPr>
        <w:lastRenderedPageBreak/>
        <w:t>"כפי שהובהר מס' פעמים בהחלטות קודמות- לא ניתן להגיש חוות דעת מומחה ללא קבלת אישור מטעם בית המשפט כמתחייב מהוראות הדין (תקנה 25(ח) בית המשפט לענייני משפחה (סדרי דין), התשפ"א-2020. משלא נתבקש, וממילא לא ניתן, אישור להגשת חוות דעת, אין מקום להורות על הארכת מועד להגשת תצהירים לצורך השלמת חוות דעת מטעם המבקשים. משכך- הבקשה נדחית".</w:t>
      </w:r>
    </w:p>
    <w:p w:rsidR="00A91457" w:rsidRPr="00A91457" w:rsidRDefault="00B063EB" w:rsidP="00A91457">
      <w:pPr>
        <w:pStyle w:val="ad"/>
        <w:numPr>
          <w:ilvl w:val="0"/>
          <w:numId w:val="2"/>
        </w:numPr>
        <w:spacing w:line="360" w:lineRule="auto"/>
        <w:jc w:val="both"/>
        <w:rPr>
          <w:rFonts w:ascii="Arial" w:hAnsi="Arial"/>
          <w:noProof w:val="0"/>
        </w:rPr>
      </w:pPr>
      <w:r>
        <w:rPr>
          <w:rFonts w:ascii="Arial" w:hAnsi="Arial"/>
          <w:noProof w:val="0"/>
          <w:rtl/>
        </w:rPr>
        <w:t xml:space="preserve">ביום 15.8.24 הגישו המשיבים תצהירים </w:t>
      </w:r>
      <w:r w:rsidR="007109B0">
        <w:rPr>
          <w:rFonts w:ascii="Arial" w:hAnsi="Arial"/>
          <w:b/>
          <w:bCs/>
          <w:noProof w:val="0"/>
          <w:u w:val="single"/>
          <w:rtl/>
        </w:rPr>
        <w:t>בצירוף כ-800 עמודי נספחים</w:t>
      </w:r>
      <w:r w:rsidR="007109B0">
        <w:rPr>
          <w:rFonts w:ascii="Arial" w:hAnsi="Arial" w:hint="cs"/>
          <w:b/>
          <w:bCs/>
          <w:noProof w:val="0"/>
          <w:u w:val="single"/>
          <w:rtl/>
        </w:rPr>
        <w:t xml:space="preserve"> (!)</w:t>
      </w:r>
      <w:r w:rsidR="00A91457">
        <w:rPr>
          <w:rFonts w:ascii="Arial" w:hAnsi="Arial" w:hint="cs"/>
          <w:b/>
          <w:bCs/>
          <w:noProof w:val="0"/>
          <w:u w:val="single"/>
          <w:rtl/>
        </w:rPr>
        <w:t xml:space="preserve">, לרבות חוות דעת מומחה.  </w:t>
      </w:r>
      <w:r w:rsidR="00A91457" w:rsidRPr="00A91457">
        <w:rPr>
          <w:rFonts w:ascii="Arial" w:hAnsi="Arial"/>
          <w:noProof w:val="0"/>
          <w:rtl/>
        </w:rPr>
        <w:t>במסמך שכונה "תגובה להחלטת בית המשפט מיום 14.8.24" טענו המשיבים כי מאחר ולא מונה מומחה מטעם בית המשפט לפי סעיף 8(ג) לחוק בית המשפט לענייני משפחה התשנ"ה- 1995 – אין מניעה מהגשת חוות דע</w:t>
      </w:r>
      <w:r w:rsidR="00A91457">
        <w:rPr>
          <w:rFonts w:ascii="Arial" w:hAnsi="Arial"/>
          <w:noProof w:val="0"/>
          <w:rtl/>
        </w:rPr>
        <w:t xml:space="preserve">ת </w:t>
      </w:r>
      <w:r w:rsidR="00A91457">
        <w:rPr>
          <w:rFonts w:ascii="Arial" w:hAnsi="Arial" w:hint="cs"/>
          <w:noProof w:val="0"/>
          <w:rtl/>
        </w:rPr>
        <w:t>מטעמם</w:t>
      </w:r>
      <w:r w:rsidR="00A91457">
        <w:rPr>
          <w:rFonts w:ascii="Arial" w:hAnsi="Arial"/>
          <w:noProof w:val="0"/>
          <w:rtl/>
        </w:rPr>
        <w:t xml:space="preserve"> וזו הוגשה על ידם</w:t>
      </w:r>
      <w:r w:rsidR="00A91457">
        <w:rPr>
          <w:rFonts w:ascii="Arial" w:hAnsi="Arial" w:hint="cs"/>
          <w:noProof w:val="0"/>
          <w:rtl/>
        </w:rPr>
        <w:t xml:space="preserve">, כאמור, </w:t>
      </w:r>
      <w:r w:rsidR="00A91457" w:rsidRPr="00A91457">
        <w:rPr>
          <w:rFonts w:ascii="Arial" w:hAnsi="Arial"/>
          <w:noProof w:val="0"/>
          <w:rtl/>
        </w:rPr>
        <w:t xml:space="preserve">בצירוף לתצהיר. </w:t>
      </w:r>
    </w:p>
    <w:p w:rsidR="00B063EB" w:rsidRDefault="00B063EB" w:rsidP="00B063EB">
      <w:pPr>
        <w:pStyle w:val="ad"/>
        <w:numPr>
          <w:ilvl w:val="0"/>
          <w:numId w:val="2"/>
        </w:numPr>
        <w:spacing w:line="360" w:lineRule="auto"/>
        <w:jc w:val="both"/>
        <w:rPr>
          <w:rFonts w:ascii="Arial" w:hAnsi="Arial"/>
          <w:noProof w:val="0"/>
        </w:rPr>
      </w:pPr>
      <w:r>
        <w:rPr>
          <w:rFonts w:ascii="Arial" w:hAnsi="Arial"/>
          <w:noProof w:val="0"/>
          <w:rtl/>
        </w:rPr>
        <w:t xml:space="preserve">כן הגישו המשיבים בקשה לזימון עדים- ובכלל זה את עורך הצוואה, המומחית מטעם המשיבים, ו-3 עדים נוספים שנטען כי באפשרותם להעיד על התמכרותו הנטענת של המנוח לטיפה המרה ועל יחסיו עם המבקשת ומי מהמשיבים. </w:t>
      </w:r>
    </w:p>
    <w:p w:rsidR="00B063EB" w:rsidRDefault="00B063EB" w:rsidP="00B063EB">
      <w:pPr>
        <w:pStyle w:val="ad"/>
        <w:numPr>
          <w:ilvl w:val="0"/>
          <w:numId w:val="2"/>
        </w:numPr>
        <w:spacing w:line="360" w:lineRule="auto"/>
        <w:jc w:val="both"/>
        <w:rPr>
          <w:rFonts w:ascii="Arial" w:hAnsi="Arial"/>
          <w:noProof w:val="0"/>
        </w:rPr>
      </w:pPr>
      <w:r>
        <w:rPr>
          <w:rFonts w:ascii="Arial" w:hAnsi="Arial"/>
          <w:noProof w:val="0"/>
          <w:rtl/>
        </w:rPr>
        <w:t xml:space="preserve">המבקשת הגישה בקשה להוצאת חוות דעת ונספחים מהתצהירים שהוגשו וכן את תגובתה לבקשה לזימון עדים. </w:t>
      </w:r>
    </w:p>
    <w:p w:rsidR="00B063EB" w:rsidRDefault="00B063EB" w:rsidP="00B063EB">
      <w:pPr>
        <w:pStyle w:val="ad"/>
        <w:numPr>
          <w:ilvl w:val="0"/>
          <w:numId w:val="2"/>
        </w:numPr>
        <w:spacing w:line="360" w:lineRule="auto"/>
        <w:jc w:val="both"/>
        <w:rPr>
          <w:rFonts w:ascii="Arial" w:hAnsi="Arial"/>
          <w:noProof w:val="0"/>
        </w:rPr>
      </w:pPr>
      <w:r>
        <w:rPr>
          <w:rFonts w:ascii="Arial" w:hAnsi="Arial"/>
          <w:noProof w:val="0"/>
          <w:rtl/>
        </w:rPr>
        <w:t xml:space="preserve">המשיבים הגישו אורכה להגשת התגובה והמבקשת הגישה בקשה לדחיית תצהירי העדות הראשית מטעמה עד להכרעה בבקשה לעניין מחיקת </w:t>
      </w:r>
      <w:r w:rsidR="00A91457">
        <w:rPr>
          <w:rFonts w:ascii="Arial" w:hAnsi="Arial" w:hint="cs"/>
          <w:noProof w:val="0"/>
          <w:rtl/>
        </w:rPr>
        <w:t>הנספחים מ</w:t>
      </w:r>
      <w:r>
        <w:rPr>
          <w:rFonts w:ascii="Arial" w:hAnsi="Arial"/>
          <w:noProof w:val="0"/>
          <w:rtl/>
        </w:rPr>
        <w:t xml:space="preserve">תצהירי המשיבים. </w:t>
      </w:r>
    </w:p>
    <w:p w:rsidR="00B063EB" w:rsidRDefault="00B063EB" w:rsidP="00A91457">
      <w:pPr>
        <w:pStyle w:val="ad"/>
        <w:numPr>
          <w:ilvl w:val="0"/>
          <w:numId w:val="2"/>
        </w:numPr>
        <w:spacing w:line="360" w:lineRule="auto"/>
        <w:jc w:val="both"/>
        <w:rPr>
          <w:rFonts w:ascii="Arial" w:hAnsi="Arial"/>
          <w:noProof w:val="0"/>
        </w:rPr>
      </w:pPr>
      <w:r>
        <w:rPr>
          <w:rFonts w:ascii="Arial" w:hAnsi="Arial"/>
          <w:noProof w:val="0"/>
          <w:rtl/>
        </w:rPr>
        <w:t>בהחלטה מיום 29.8.24- נעתר בית המשפט לבקשות הארכה, אולם נקבע כי מניין הימים להגשת תצהירי עדות המשיבה ימנה לאחר הכרעה בבקשה להוצאת נספחים מהתצהירים. בשים לב לסד הזמנים שנוצר, ועל מנת לאפשר הגשת יתר תצהירי העדות בסד הזמנים שה</w:t>
      </w:r>
      <w:r w:rsidR="00444782">
        <w:rPr>
          <w:rFonts w:ascii="Arial" w:hAnsi="Arial" w:hint="cs"/>
          <w:noProof w:val="0"/>
          <w:rtl/>
        </w:rPr>
        <w:t>ו</w:t>
      </w:r>
      <w:r>
        <w:rPr>
          <w:rFonts w:ascii="Arial" w:hAnsi="Arial"/>
          <w:noProof w:val="0"/>
          <w:rtl/>
        </w:rPr>
        <w:t xml:space="preserve">קצב בהחלטה מיום 3.12.23 (סה"כ 3 חודשים ממועד ההחלטה בבקשות שלפניי)- לא היה מנוס להורות על דחיית דיון ההוכחות </w:t>
      </w:r>
      <w:r w:rsidR="00A91457">
        <w:rPr>
          <w:rFonts w:ascii="Arial" w:hAnsi="Arial" w:hint="cs"/>
          <w:noProof w:val="0"/>
          <w:rtl/>
        </w:rPr>
        <w:t xml:space="preserve">מיום 31.10.24 </w:t>
      </w:r>
      <w:r>
        <w:rPr>
          <w:rFonts w:ascii="Arial" w:hAnsi="Arial"/>
          <w:noProof w:val="0"/>
          <w:rtl/>
        </w:rPr>
        <w:t>ליום 5.12.24.</w:t>
      </w:r>
    </w:p>
    <w:p w:rsidR="00B063EB" w:rsidRDefault="00B063EB" w:rsidP="00B063EB">
      <w:pPr>
        <w:pStyle w:val="ad"/>
        <w:numPr>
          <w:ilvl w:val="0"/>
          <w:numId w:val="2"/>
        </w:numPr>
        <w:spacing w:line="360" w:lineRule="auto"/>
        <w:jc w:val="both"/>
        <w:rPr>
          <w:rFonts w:ascii="Arial" w:hAnsi="Arial"/>
          <w:noProof w:val="0"/>
        </w:rPr>
      </w:pPr>
      <w:r>
        <w:rPr>
          <w:rFonts w:ascii="Arial" w:hAnsi="Arial"/>
          <w:noProof w:val="0"/>
          <w:rtl/>
        </w:rPr>
        <w:t xml:space="preserve">כעת יש לבחון טענות הצדדים לגופו של עניין. </w:t>
      </w:r>
    </w:p>
    <w:p w:rsidR="00B063EB" w:rsidRPr="00522ABB" w:rsidRDefault="00B063EB" w:rsidP="00522ABB">
      <w:pPr>
        <w:pStyle w:val="ad"/>
        <w:numPr>
          <w:ilvl w:val="0"/>
          <w:numId w:val="1"/>
        </w:numPr>
        <w:spacing w:line="360" w:lineRule="auto"/>
        <w:jc w:val="both"/>
        <w:rPr>
          <w:rFonts w:ascii="Arial" w:hAnsi="Arial"/>
          <w:b/>
          <w:bCs/>
          <w:noProof w:val="0"/>
          <w:u w:val="single"/>
          <w:rtl/>
        </w:rPr>
      </w:pPr>
      <w:r w:rsidRPr="00522ABB">
        <w:rPr>
          <w:rFonts w:ascii="Arial" w:hAnsi="Arial"/>
          <w:b/>
          <w:bCs/>
          <w:noProof w:val="0"/>
          <w:u w:val="single"/>
          <w:rtl/>
        </w:rPr>
        <w:t xml:space="preserve">הבקשה להוצאת נספחים- </w:t>
      </w:r>
    </w:p>
    <w:p w:rsidR="00B063EB" w:rsidRDefault="00B063EB" w:rsidP="00B063EB">
      <w:pPr>
        <w:pStyle w:val="ad"/>
        <w:numPr>
          <w:ilvl w:val="0"/>
          <w:numId w:val="2"/>
        </w:numPr>
        <w:spacing w:line="360" w:lineRule="auto"/>
        <w:jc w:val="both"/>
        <w:rPr>
          <w:rFonts w:ascii="Arial" w:hAnsi="Arial"/>
          <w:noProof w:val="0"/>
        </w:rPr>
      </w:pPr>
      <w:r>
        <w:rPr>
          <w:rFonts w:ascii="Arial" w:hAnsi="Arial"/>
          <w:noProof w:val="0"/>
          <w:rtl/>
        </w:rPr>
        <w:t>המבקשת הגישה בקשה למחיקת נספחים ותצהירי העדות הראשית מטעם המשיבים, כדלקמן:</w:t>
      </w:r>
    </w:p>
    <w:p w:rsidR="00B063EB" w:rsidRDefault="00B063EB" w:rsidP="00B063EB">
      <w:pPr>
        <w:pStyle w:val="ad"/>
        <w:numPr>
          <w:ilvl w:val="0"/>
          <w:numId w:val="5"/>
        </w:numPr>
        <w:spacing w:line="360" w:lineRule="auto"/>
        <w:jc w:val="both"/>
        <w:rPr>
          <w:rFonts w:ascii="Arial" w:hAnsi="Arial"/>
          <w:noProof w:val="0"/>
          <w:rtl/>
        </w:rPr>
      </w:pPr>
      <w:r>
        <w:rPr>
          <w:rFonts w:ascii="Arial" w:hAnsi="Arial"/>
          <w:noProof w:val="0"/>
          <w:rtl/>
        </w:rPr>
        <w:t>נספח ט"ו - חוות דעת רפואית שנטען כי הוגשה שלא בהתאם לתקנה 25 ח לתקנות בית המשפט לענייני משפחה (סדרי דין) התשפ"א – 2020 (להלן: "</w:t>
      </w:r>
      <w:r>
        <w:rPr>
          <w:rFonts w:ascii="Arial" w:hAnsi="Arial"/>
          <w:b/>
          <w:bCs/>
          <w:noProof w:val="0"/>
          <w:rtl/>
        </w:rPr>
        <w:t>התקנות</w:t>
      </w:r>
      <w:r>
        <w:rPr>
          <w:rFonts w:ascii="Arial" w:hAnsi="Arial"/>
          <w:noProof w:val="0"/>
          <w:rtl/>
        </w:rPr>
        <w:t xml:space="preserve">"), ובהתעלם מהחלטות שנתנו בתיק. </w:t>
      </w:r>
    </w:p>
    <w:p w:rsidR="00B063EB" w:rsidRDefault="00B063EB" w:rsidP="00264867">
      <w:pPr>
        <w:pStyle w:val="ad"/>
        <w:numPr>
          <w:ilvl w:val="0"/>
          <w:numId w:val="5"/>
        </w:numPr>
        <w:spacing w:line="360" w:lineRule="auto"/>
        <w:jc w:val="both"/>
        <w:rPr>
          <w:rFonts w:ascii="Arial" w:hAnsi="Arial"/>
          <w:noProof w:val="0"/>
        </w:rPr>
      </w:pPr>
      <w:r>
        <w:rPr>
          <w:rFonts w:ascii="Arial" w:hAnsi="Arial"/>
          <w:noProof w:val="0"/>
          <w:rtl/>
        </w:rPr>
        <w:t>חלק מנספח י'-</w:t>
      </w:r>
      <w:r w:rsidR="00264867">
        <w:rPr>
          <w:rFonts w:ascii="Arial" w:hAnsi="Arial"/>
          <w:noProof w:val="0"/>
          <w:rtl/>
        </w:rPr>
        <w:t xml:space="preserve"> תיק גירושין של המנוח מהגב' א</w:t>
      </w:r>
      <w:r w:rsidR="00264867">
        <w:rPr>
          <w:rFonts w:ascii="Arial" w:hAnsi="Arial" w:hint="cs"/>
          <w:noProof w:val="0"/>
          <w:rtl/>
        </w:rPr>
        <w:t>'.צ</w:t>
      </w:r>
      <w:r>
        <w:rPr>
          <w:rFonts w:ascii="Arial" w:hAnsi="Arial"/>
          <w:noProof w:val="0"/>
          <w:rtl/>
        </w:rPr>
        <w:t xml:space="preserve"> משנת 2003 – מאחר ובית המשפט כבר העיר למתנגדים בפרו' הדיון מיום 3.12.23 כי מדובר במסמכים שעליהם חלה התיישנות ואין בהם רלוונטיות להתנגדות לצוואה. </w:t>
      </w:r>
    </w:p>
    <w:p w:rsidR="00B063EB" w:rsidRDefault="00B063EB" w:rsidP="00B063EB">
      <w:pPr>
        <w:pStyle w:val="ad"/>
        <w:numPr>
          <w:ilvl w:val="0"/>
          <w:numId w:val="5"/>
        </w:numPr>
        <w:spacing w:line="360" w:lineRule="auto"/>
        <w:jc w:val="both"/>
        <w:rPr>
          <w:rFonts w:ascii="Arial" w:hAnsi="Arial"/>
          <w:noProof w:val="0"/>
        </w:rPr>
      </w:pPr>
      <w:r>
        <w:rPr>
          <w:rFonts w:ascii="Arial" w:hAnsi="Arial"/>
          <w:noProof w:val="0"/>
          <w:rtl/>
        </w:rPr>
        <w:lastRenderedPageBreak/>
        <w:t>נספחים י"ב, י"ג, י"ד ו- ט"ז- מסמכים רפואיים שאף אינם רלוונטיים לתאריך עריכת הצוואה. נטען כי המנוח הפקיד צוואתו במשרד הרשם לענייני ירושה ביום 3.7.19 וחזקה שאם לא היה כשיר במועד הנ"ל- לא יכול היה להפקיד הצוואה.</w:t>
      </w:r>
    </w:p>
    <w:p w:rsidR="00B063EB" w:rsidRDefault="00B063EB" w:rsidP="00B063EB">
      <w:pPr>
        <w:pStyle w:val="ad"/>
        <w:numPr>
          <w:ilvl w:val="0"/>
          <w:numId w:val="2"/>
        </w:numPr>
        <w:spacing w:line="360" w:lineRule="auto"/>
        <w:jc w:val="both"/>
        <w:rPr>
          <w:rFonts w:ascii="Arial" w:hAnsi="Arial"/>
          <w:noProof w:val="0"/>
        </w:rPr>
      </w:pPr>
      <w:r>
        <w:rPr>
          <w:rFonts w:ascii="Arial" w:hAnsi="Arial"/>
          <w:noProof w:val="0"/>
          <w:rtl/>
        </w:rPr>
        <w:t>המשיבים בתגובתם טענו כדלקמן:</w:t>
      </w:r>
    </w:p>
    <w:p w:rsidR="00B063EB" w:rsidRPr="00A91457" w:rsidRDefault="00B063EB" w:rsidP="00A91457">
      <w:pPr>
        <w:pStyle w:val="ad"/>
        <w:numPr>
          <w:ilvl w:val="0"/>
          <w:numId w:val="5"/>
        </w:numPr>
        <w:spacing w:line="360" w:lineRule="auto"/>
        <w:jc w:val="both"/>
        <w:rPr>
          <w:rFonts w:ascii="Arial" w:hAnsi="Arial"/>
          <w:noProof w:val="0"/>
        </w:rPr>
      </w:pPr>
      <w:r>
        <w:rPr>
          <w:rFonts w:ascii="Arial" w:hAnsi="Arial"/>
          <w:noProof w:val="0"/>
          <w:rtl/>
        </w:rPr>
        <w:t>ביחס לחוות דעת המומחית מטעם המשיבים (נספח ט"ו)-  טענו המשיבים כי "</w:t>
      </w:r>
      <w:r>
        <w:rPr>
          <w:rFonts w:ascii="Arial" w:hAnsi="Arial"/>
          <w:b/>
          <w:bCs/>
          <w:noProof w:val="0"/>
          <w:u w:val="single"/>
          <w:rtl/>
        </w:rPr>
        <w:t>לא הוגשה</w:t>
      </w:r>
      <w:r>
        <w:rPr>
          <w:rFonts w:ascii="Arial" w:hAnsi="Arial"/>
          <w:noProof w:val="0"/>
          <w:rtl/>
        </w:rPr>
        <w:t xml:space="preserve"> כל בקשה למינוי מומחה לבית המשפט, מכיוון שאין צורך במינוי מומחה, אלא הוגשה חוות דעת מטעם המשיבים וזאת לאור טענתם להיעדר כשרות משפטית של המצווה, דבר אשר מחזק טענותיהם" (ההדגשה במקור). נטען כי נדרש אישור בית המשפט להגשת חוות דעת מטעם המשיבים רק כאשר מונה מומחה מטעם בית המשפט. לטענתם, משלא מונה מומחה כאמור- אין צורך בקבלת אישור בית המשפט להגשת חוות הדעת. </w:t>
      </w:r>
      <w:r w:rsidR="00A91457">
        <w:rPr>
          <w:rFonts w:ascii="Arial" w:hAnsi="Arial" w:hint="cs"/>
          <w:noProof w:val="0"/>
          <w:rtl/>
        </w:rPr>
        <w:t xml:space="preserve"> </w:t>
      </w:r>
      <w:r w:rsidRPr="00A91457">
        <w:rPr>
          <w:rFonts w:ascii="Arial" w:hAnsi="Arial"/>
          <w:noProof w:val="0"/>
          <w:rtl/>
        </w:rPr>
        <w:t xml:space="preserve">כן נטען כי העובדה </w:t>
      </w:r>
      <w:r w:rsidR="00A91457">
        <w:rPr>
          <w:rFonts w:ascii="Arial" w:hAnsi="Arial" w:hint="cs"/>
          <w:noProof w:val="0"/>
          <w:rtl/>
        </w:rPr>
        <w:t>ש</w:t>
      </w:r>
      <w:r w:rsidRPr="00A91457">
        <w:rPr>
          <w:rFonts w:ascii="Arial" w:hAnsi="Arial"/>
          <w:noProof w:val="0"/>
          <w:rtl/>
        </w:rPr>
        <w:t>המבקשת</w:t>
      </w:r>
      <w:r w:rsidR="00A91457">
        <w:rPr>
          <w:rFonts w:ascii="Arial" w:hAnsi="Arial" w:hint="cs"/>
          <w:noProof w:val="0"/>
          <w:rtl/>
        </w:rPr>
        <w:t xml:space="preserve"> לא טרחה</w:t>
      </w:r>
      <w:r w:rsidRPr="00A91457">
        <w:rPr>
          <w:rFonts w:ascii="Arial" w:hAnsi="Arial"/>
          <w:noProof w:val="0"/>
          <w:rtl/>
        </w:rPr>
        <w:t xml:space="preserve">, עם הגשת הצוואה לביצוע "לצרף חוות דעת מומחה הקובעת כי על אף היותו סובל ממחלות שונות, רשאי הוא לערוך צוואה ומבין את תוכנה וטבעה, מעיד על כך שהדבר נעשה </w:t>
      </w:r>
      <w:r w:rsidRPr="00A91457">
        <w:rPr>
          <w:rFonts w:ascii="Arial" w:hAnsi="Arial"/>
          <w:b/>
          <w:bCs/>
          <w:noProof w:val="0"/>
          <w:rtl/>
        </w:rPr>
        <w:t>בתחבולה ולא מרצון אישי או יד</w:t>
      </w:r>
      <w:r w:rsidR="00A91457">
        <w:rPr>
          <w:rFonts w:ascii="Arial" w:hAnsi="Arial"/>
          <w:b/>
          <w:bCs/>
          <w:noProof w:val="0"/>
          <w:rtl/>
        </w:rPr>
        <w:t>יעה או הבנה לאמיתות תוכן הדברים</w:t>
      </w:r>
      <w:r w:rsidRPr="00A91457">
        <w:rPr>
          <w:rFonts w:ascii="Arial" w:hAnsi="Arial"/>
          <w:noProof w:val="0"/>
          <w:rtl/>
        </w:rPr>
        <w:t>"</w:t>
      </w:r>
      <w:r w:rsidR="00A91457">
        <w:rPr>
          <w:rFonts w:ascii="Arial" w:hAnsi="Arial" w:hint="cs"/>
          <w:noProof w:val="0"/>
          <w:rtl/>
        </w:rPr>
        <w:t xml:space="preserve"> </w:t>
      </w:r>
      <w:r w:rsidRPr="00A91457">
        <w:rPr>
          <w:rFonts w:ascii="Arial" w:hAnsi="Arial"/>
          <w:noProof w:val="0"/>
          <w:rtl/>
        </w:rPr>
        <w:t>(ההדגשה במקור).</w:t>
      </w:r>
    </w:p>
    <w:p w:rsidR="00B063EB" w:rsidRDefault="00B063EB" w:rsidP="00B063EB">
      <w:pPr>
        <w:pStyle w:val="ad"/>
        <w:numPr>
          <w:ilvl w:val="0"/>
          <w:numId w:val="5"/>
        </w:numPr>
        <w:spacing w:line="360" w:lineRule="auto"/>
        <w:jc w:val="both"/>
        <w:rPr>
          <w:rFonts w:ascii="Arial" w:hAnsi="Arial"/>
          <w:noProof w:val="0"/>
        </w:rPr>
      </w:pPr>
      <w:r>
        <w:rPr>
          <w:rFonts w:ascii="Arial" w:hAnsi="Arial"/>
          <w:noProof w:val="0"/>
          <w:rtl/>
        </w:rPr>
        <w:t>באשר ל</w:t>
      </w:r>
      <w:r w:rsidR="00264867">
        <w:rPr>
          <w:rFonts w:ascii="Arial" w:hAnsi="Arial"/>
          <w:noProof w:val="0"/>
          <w:rtl/>
        </w:rPr>
        <w:t>מסמכים מהליך הגירושין מהגב' א</w:t>
      </w:r>
      <w:r w:rsidR="00264867">
        <w:rPr>
          <w:rFonts w:ascii="Arial" w:hAnsi="Arial" w:hint="cs"/>
          <w:noProof w:val="0"/>
          <w:rtl/>
        </w:rPr>
        <w:t>'</w:t>
      </w:r>
      <w:r>
        <w:rPr>
          <w:rFonts w:ascii="Arial" w:hAnsi="Arial"/>
          <w:noProof w:val="0"/>
          <w:rtl/>
        </w:rPr>
        <w:t xml:space="preserve"> (חלק מנספח נספח י' )- נטען כי אין רלוונטיות לטענות התיישנות שכן- "כלל המסמכים הקשורים לרכוש של המנוח שייכים לו עד מותו ועל כן טענת ההתיישנות לא מחזיקה מים בכלל". כן נטען כי בהתאם לפסיקה בני</w:t>
      </w:r>
      <w:r w:rsidR="00BD67B3">
        <w:rPr>
          <w:rFonts w:ascii="Arial" w:hAnsi="Arial"/>
          <w:noProof w:val="0"/>
          <w:rtl/>
        </w:rPr>
        <w:t xml:space="preserve"> זוג </w:t>
      </w:r>
      <w:r w:rsidR="00BD67B3">
        <w:rPr>
          <w:rFonts w:ascii="Arial" w:hAnsi="Arial" w:hint="cs"/>
          <w:noProof w:val="0"/>
          <w:rtl/>
        </w:rPr>
        <w:t>ה"</w:t>
      </w:r>
      <w:r w:rsidR="00A91457">
        <w:rPr>
          <w:rFonts w:ascii="Arial" w:hAnsi="Arial"/>
          <w:noProof w:val="0"/>
          <w:rtl/>
        </w:rPr>
        <w:t>מנהלים משק בית משותף ומי</w:t>
      </w:r>
      <w:r>
        <w:rPr>
          <w:rFonts w:ascii="Arial" w:hAnsi="Arial"/>
          <w:noProof w:val="0"/>
          <w:rtl/>
        </w:rPr>
        <w:t xml:space="preserve"> מהצדדים משקיע את כספו בשיפוצים, במשק הבית וברכוש ובנכסים, זכאי למחצית הנכס</w:t>
      </w:r>
      <w:r w:rsidR="00BD67B3">
        <w:rPr>
          <w:rFonts w:ascii="Arial" w:hAnsi="Arial" w:hint="cs"/>
          <w:noProof w:val="0"/>
          <w:rtl/>
        </w:rPr>
        <w:t>"</w:t>
      </w:r>
      <w:r>
        <w:rPr>
          <w:rFonts w:ascii="Arial" w:hAnsi="Arial"/>
          <w:noProof w:val="0"/>
          <w:rtl/>
        </w:rPr>
        <w:t xml:space="preserve">. </w:t>
      </w:r>
    </w:p>
    <w:p w:rsidR="00B063EB" w:rsidRDefault="00B063EB" w:rsidP="00B063EB">
      <w:pPr>
        <w:pStyle w:val="ad"/>
        <w:numPr>
          <w:ilvl w:val="0"/>
          <w:numId w:val="5"/>
        </w:numPr>
        <w:spacing w:line="360" w:lineRule="auto"/>
        <w:jc w:val="both"/>
        <w:rPr>
          <w:rFonts w:ascii="Arial" w:hAnsi="Arial"/>
          <w:noProof w:val="0"/>
          <w:rtl/>
        </w:rPr>
      </w:pPr>
      <w:r>
        <w:rPr>
          <w:rFonts w:ascii="Arial" w:hAnsi="Arial"/>
          <w:noProof w:val="0"/>
          <w:rtl/>
        </w:rPr>
        <w:t xml:space="preserve">ביחס למסמכים הרפואיים (נספחים י"ב, י"ג, י"ד ו- ט"ז) - נטען כי כלל המסמכים רלוונטיים מאוד לתיק "שעה שכל אלו נתנו תחת צווים". נטען כי כל אלו שימשו לצורך ביסוס טענות ההתנגדות של המשיבים לצוואה- כי המנוח לא היה כשיר לעריכת הצוואה. </w:t>
      </w:r>
    </w:p>
    <w:p w:rsidR="00B063EB" w:rsidRDefault="00B063EB" w:rsidP="00B063EB">
      <w:pPr>
        <w:pStyle w:val="ad"/>
        <w:spacing w:line="360" w:lineRule="auto"/>
        <w:ind w:left="502"/>
        <w:jc w:val="both"/>
        <w:rPr>
          <w:rFonts w:ascii="Arial" w:hAnsi="Arial"/>
          <w:noProof w:val="0"/>
          <w:rtl/>
        </w:rPr>
      </w:pPr>
      <w:r>
        <w:rPr>
          <w:rFonts w:ascii="Arial" w:hAnsi="Arial"/>
          <w:noProof w:val="0"/>
          <w:rtl/>
        </w:rPr>
        <w:t xml:space="preserve">משכך, נטען כי אין להוציא כל מסמך מהתצהירים. </w:t>
      </w:r>
    </w:p>
    <w:p w:rsidR="00EB3C89" w:rsidRDefault="00EB3C89" w:rsidP="00B063EB">
      <w:pPr>
        <w:spacing w:line="360" w:lineRule="auto"/>
        <w:ind w:left="720"/>
        <w:jc w:val="both"/>
        <w:rPr>
          <w:rFonts w:ascii="Arial" w:hAnsi="Arial"/>
          <w:b/>
          <w:bCs/>
          <w:noProof w:val="0"/>
          <w:rtl/>
        </w:rPr>
      </w:pPr>
    </w:p>
    <w:p w:rsidR="00B063EB" w:rsidRDefault="00B063EB" w:rsidP="00B063EB">
      <w:pPr>
        <w:spacing w:line="360" w:lineRule="auto"/>
        <w:ind w:left="720"/>
        <w:jc w:val="both"/>
        <w:rPr>
          <w:rFonts w:ascii="Arial" w:hAnsi="Arial"/>
          <w:b/>
          <w:bCs/>
          <w:noProof w:val="0"/>
          <w:rtl/>
        </w:rPr>
      </w:pPr>
      <w:r>
        <w:rPr>
          <w:rFonts w:ascii="Arial" w:hAnsi="Arial"/>
          <w:b/>
          <w:bCs/>
          <w:noProof w:val="0"/>
          <w:rtl/>
        </w:rPr>
        <w:t>דיון:</w:t>
      </w:r>
    </w:p>
    <w:p w:rsidR="00B063EB" w:rsidRPr="00EB3C89" w:rsidRDefault="00B063EB" w:rsidP="00EB3C89">
      <w:pPr>
        <w:pStyle w:val="ad"/>
        <w:numPr>
          <w:ilvl w:val="0"/>
          <w:numId w:val="5"/>
        </w:numPr>
        <w:spacing w:line="360" w:lineRule="auto"/>
        <w:jc w:val="both"/>
        <w:rPr>
          <w:rFonts w:ascii="Arial" w:hAnsi="Arial"/>
          <w:b/>
          <w:bCs/>
          <w:noProof w:val="0"/>
          <w:rtl/>
        </w:rPr>
      </w:pPr>
      <w:r w:rsidRPr="00EB3C89">
        <w:rPr>
          <w:rFonts w:ascii="Arial" w:hAnsi="Arial"/>
          <w:b/>
          <w:bCs/>
          <w:noProof w:val="0"/>
          <w:rtl/>
        </w:rPr>
        <w:t xml:space="preserve">לעניין נספח ט"ו - חוות דעת- </w:t>
      </w:r>
    </w:p>
    <w:p w:rsidR="00B063EB" w:rsidRDefault="00B063EB" w:rsidP="00706940">
      <w:pPr>
        <w:pStyle w:val="ad"/>
        <w:numPr>
          <w:ilvl w:val="0"/>
          <w:numId w:val="2"/>
        </w:numPr>
        <w:spacing w:line="360" w:lineRule="auto"/>
        <w:jc w:val="both"/>
        <w:rPr>
          <w:rFonts w:ascii="David" w:hAnsi="David"/>
        </w:rPr>
      </w:pPr>
      <w:r>
        <w:rPr>
          <w:rFonts w:ascii="David" w:hAnsi="David"/>
          <w:rtl/>
        </w:rPr>
        <w:t xml:space="preserve">בבית המשפט לענייני משפחה חל הסדר מיוחד בנוגע למינוי מומחים. בעל דין המבקש למנות מומחה בעניין הנדון בפני בית משפט לענייני משפחה, חייב לפנות לבית המשפט ולעתור למינוי מומחה מטעם בית המשפט. </w:t>
      </w:r>
      <w:r>
        <w:rPr>
          <w:rFonts w:ascii="David" w:hAnsi="David"/>
          <w:b/>
          <w:bCs/>
          <w:rtl/>
        </w:rPr>
        <w:t>בעל דין אינו רשאי להגיש חוו"ד מטעמו, בטרם פנה או ביקש מבית המשפט לעשות זאת</w:t>
      </w:r>
      <w:r>
        <w:rPr>
          <w:rFonts w:ascii="David" w:hAnsi="David"/>
          <w:rtl/>
        </w:rPr>
        <w:t xml:space="preserve"> (ראו: סעיף 8(ג) לחוק בית המשפט לענייני משפחה התש</w:t>
      </w:r>
      <w:r w:rsidR="00706940">
        <w:rPr>
          <w:rFonts w:ascii="David" w:hAnsi="David"/>
          <w:rtl/>
        </w:rPr>
        <w:t>נ"ה – 1995, ותקנה 25 (ח) לתקנו</w:t>
      </w:r>
      <w:r w:rsidR="00706940">
        <w:rPr>
          <w:rFonts w:ascii="David" w:hAnsi="David" w:hint="cs"/>
          <w:rtl/>
        </w:rPr>
        <w:t>ת</w:t>
      </w:r>
      <w:r>
        <w:rPr>
          <w:rFonts w:ascii="David" w:hAnsi="David"/>
          <w:rtl/>
        </w:rPr>
        <w:t>.</w:t>
      </w:r>
    </w:p>
    <w:p w:rsidR="00B063EB" w:rsidRDefault="00B063EB" w:rsidP="00B063EB">
      <w:pPr>
        <w:pStyle w:val="ad"/>
        <w:numPr>
          <w:ilvl w:val="0"/>
          <w:numId w:val="2"/>
        </w:numPr>
        <w:spacing w:line="360" w:lineRule="auto"/>
        <w:jc w:val="both"/>
        <w:rPr>
          <w:rFonts w:ascii="David" w:hAnsi="David"/>
        </w:rPr>
      </w:pPr>
      <w:r>
        <w:rPr>
          <w:rFonts w:ascii="David" w:hAnsi="David"/>
          <w:rtl/>
        </w:rPr>
        <w:t xml:space="preserve">ראה בעניין זה גם האמור  בבע"מ 8412/14 </w:t>
      </w:r>
      <w:r>
        <w:rPr>
          <w:rFonts w:ascii="David" w:hAnsi="David"/>
          <w:b/>
          <w:bCs/>
          <w:rtl/>
        </w:rPr>
        <w:t>פלונים נ' פלונית</w:t>
      </w:r>
      <w:r>
        <w:rPr>
          <w:rFonts w:ascii="David" w:hAnsi="David"/>
          <w:rtl/>
        </w:rPr>
        <w:t xml:space="preserve"> (ניתן ביום 18.1.15) :</w:t>
      </w:r>
    </w:p>
    <w:p w:rsidR="00B063EB" w:rsidRPr="006E325D" w:rsidRDefault="00B063EB" w:rsidP="00BD67B3">
      <w:pPr>
        <w:spacing w:line="360" w:lineRule="auto"/>
        <w:ind w:left="1440"/>
        <w:contextualSpacing/>
        <w:jc w:val="both"/>
        <w:rPr>
          <w:rFonts w:ascii="David" w:hAnsi="David"/>
          <w:b/>
          <w:bCs/>
          <w:sz w:val="22"/>
          <w:szCs w:val="22"/>
        </w:rPr>
      </w:pPr>
      <w:r w:rsidRPr="006E325D">
        <w:rPr>
          <w:rFonts w:ascii="David" w:hAnsi="David"/>
          <w:b/>
          <w:bCs/>
          <w:sz w:val="22"/>
          <w:szCs w:val="22"/>
          <w:rtl/>
        </w:rPr>
        <w:t xml:space="preserve">"...לעניין האפשרות להגיש חוות דעת מומחים פרטיות מטעם הצדדים, סדרי הדין של בית המשפט לענייני משפחה קובעים ברירת מחדל שונה מזו החלה על תביעות דומות בבתי </w:t>
      </w:r>
      <w:r w:rsidRPr="006E325D">
        <w:rPr>
          <w:rFonts w:ascii="David" w:hAnsi="David"/>
          <w:b/>
          <w:bCs/>
          <w:sz w:val="22"/>
          <w:szCs w:val="22"/>
          <w:rtl/>
        </w:rPr>
        <w:lastRenderedPageBreak/>
        <w:t>משפט אזרחיים. בתביעה אזרחית רגילה, המנוהלת בבתי משפט אזרחיים, בעל דין המעוניין להוכיח עניין שברפואה נדרש לצרף לכתב טענותיו "תעודת רופא או חוות דעת של מומחה" (</w:t>
      </w:r>
      <w:hyperlink r:id="rId10" w:history="1">
        <w:r w:rsidRPr="006E325D">
          <w:rPr>
            <w:b/>
            <w:bCs/>
            <w:rtl/>
          </w:rPr>
          <w:t>תקנה 127</w:t>
        </w:r>
      </w:hyperlink>
      <w:r w:rsidRPr="006E325D">
        <w:rPr>
          <w:rFonts w:ascii="David" w:hAnsi="David"/>
          <w:b/>
          <w:bCs/>
          <w:sz w:val="22"/>
          <w:szCs w:val="22"/>
          <w:rtl/>
        </w:rPr>
        <w:t xml:space="preserve"> ל</w:t>
      </w:r>
      <w:hyperlink r:id="rId11" w:history="1">
        <w:r w:rsidRPr="006E325D">
          <w:rPr>
            <w:b/>
            <w:bCs/>
            <w:rtl/>
          </w:rPr>
          <w:t>תקנות סדר הדין האזרחי</w:t>
        </w:r>
      </w:hyperlink>
      <w:r w:rsidRPr="006E325D">
        <w:rPr>
          <w:rFonts w:ascii="David" w:hAnsi="David"/>
          <w:b/>
          <w:bCs/>
          <w:sz w:val="22"/>
          <w:szCs w:val="22"/>
          <w:rtl/>
        </w:rPr>
        <w:t xml:space="preserve">, תשמ"ד-1984). לעומת זאת, בבתי משפט לענייני משפחה נקבע </w:t>
      </w:r>
      <w:hyperlink r:id="rId12" w:history="1">
        <w:r w:rsidRPr="006E325D">
          <w:rPr>
            <w:b/>
            <w:bCs/>
            <w:rtl/>
          </w:rPr>
          <w:t>בתקנה 254 י"ב(ז)</w:t>
        </w:r>
      </w:hyperlink>
      <w:r w:rsidRPr="006E325D">
        <w:rPr>
          <w:rFonts w:ascii="David" w:hAnsi="David"/>
          <w:b/>
          <w:bCs/>
          <w:sz w:val="22"/>
          <w:szCs w:val="22"/>
          <w:rtl/>
        </w:rPr>
        <w:t xml:space="preserve"> ל</w:t>
      </w:r>
      <w:hyperlink r:id="rId13" w:history="1">
        <w:r w:rsidRPr="006E325D">
          <w:rPr>
            <w:b/>
            <w:bCs/>
            <w:rtl/>
          </w:rPr>
          <w:t>תקנות סדר הדין האזרחי</w:t>
        </w:r>
      </w:hyperlink>
      <w:r w:rsidRPr="006E325D">
        <w:rPr>
          <w:rFonts w:ascii="David" w:hAnsi="David"/>
          <w:b/>
          <w:bCs/>
          <w:sz w:val="22"/>
          <w:szCs w:val="22"/>
          <w:rtl/>
        </w:rPr>
        <w:t xml:space="preserve">, כי "בעל דין לא יגיש חוות דעת של מומחה מטעמו אלא לאחר שבית המשפט בחן אם ליתן צו על פי סעיף 8(ג) לחוק" (קרי, </w:t>
      </w:r>
      <w:hyperlink r:id="rId14" w:history="1">
        <w:r w:rsidRPr="006E325D">
          <w:rPr>
            <w:b/>
            <w:bCs/>
            <w:rtl/>
          </w:rPr>
          <w:t>חוק בית המשפט לענייני משפחה</w:t>
        </w:r>
      </w:hyperlink>
      <w:r w:rsidRPr="006E325D">
        <w:rPr>
          <w:rFonts w:ascii="David" w:hAnsi="David"/>
          <w:b/>
          <w:bCs/>
          <w:sz w:val="22"/>
          <w:szCs w:val="22"/>
          <w:rtl/>
        </w:rPr>
        <w:t xml:space="preserve">, תשנ"ה-1995); </w:t>
      </w:r>
      <w:hyperlink r:id="rId15" w:history="1">
        <w:r w:rsidRPr="006E325D">
          <w:rPr>
            <w:b/>
            <w:bCs/>
            <w:rtl/>
          </w:rPr>
          <w:t>סעיף 8(ג)</w:t>
        </w:r>
      </w:hyperlink>
      <w:r w:rsidRPr="006E325D">
        <w:rPr>
          <w:rFonts w:ascii="David" w:hAnsi="David"/>
          <w:b/>
          <w:bCs/>
          <w:sz w:val="22"/>
          <w:szCs w:val="22"/>
          <w:rtl/>
        </w:rPr>
        <w:t xml:space="preserve"> לחוק קובע, כי "אם מונה מומחה או יועץ מטעם בית המשפט, לא יהיה בעל דין רשאי להביא עדות נוספת של מומחה מטעמו, אלא ברשות בית המשפט". עינינו הרואות, כי בכל הנוגע לאפשרות להגיש חוות דעת פרטיות, נקודת המוצא בשתי הערכאות שונה; בבית המשפט לענייני משפחה "דרך המלך לקבלת חוות דעת של מומחים [..] היא לפנות לבית המשפט ולבקש למנות מומחה מטעם בית המשפט</w:t>
      </w:r>
      <w:r w:rsidR="00BD67B3">
        <w:rPr>
          <w:rFonts w:ascii="David" w:hAnsi="David" w:hint="cs"/>
          <w:b/>
          <w:bCs/>
          <w:sz w:val="22"/>
          <w:szCs w:val="22"/>
          <w:rtl/>
        </w:rPr>
        <w:t>..".</w:t>
      </w:r>
      <w:r w:rsidRPr="006E325D">
        <w:rPr>
          <w:rFonts w:ascii="David" w:hAnsi="David"/>
          <w:b/>
          <w:bCs/>
          <w:sz w:val="22"/>
          <w:szCs w:val="22"/>
          <w:rtl/>
        </w:rPr>
        <w:t xml:space="preserve"> </w:t>
      </w:r>
    </w:p>
    <w:p w:rsidR="00B063EB" w:rsidRDefault="00B063EB" w:rsidP="00BD67B3">
      <w:pPr>
        <w:pStyle w:val="ad"/>
        <w:numPr>
          <w:ilvl w:val="0"/>
          <w:numId w:val="2"/>
        </w:numPr>
        <w:spacing w:line="360" w:lineRule="auto"/>
        <w:jc w:val="both"/>
        <w:rPr>
          <w:rFonts w:ascii="David" w:hAnsi="David"/>
        </w:rPr>
      </w:pPr>
      <w:r>
        <w:rPr>
          <w:rFonts w:ascii="David" w:hAnsi="David"/>
          <w:rtl/>
        </w:rPr>
        <w:t xml:space="preserve">בענייננו, חרף מס' רב של החלטות המפנות את המשיבים להוראות הדין הספציפי הנ"ל, הגישו המשיבים חוות דעת מטעמם בניגוד להוראות הדין, ומשכך אני מורה בשלב זה על הוצאתה מתיק בית המשפט. </w:t>
      </w:r>
    </w:p>
    <w:p w:rsidR="00B063EB" w:rsidRDefault="00B063EB" w:rsidP="00B063EB">
      <w:pPr>
        <w:pStyle w:val="ad"/>
        <w:numPr>
          <w:ilvl w:val="0"/>
          <w:numId w:val="2"/>
        </w:numPr>
        <w:spacing w:line="360" w:lineRule="auto"/>
        <w:jc w:val="both"/>
        <w:rPr>
          <w:rFonts w:ascii="David" w:hAnsi="David"/>
        </w:rPr>
      </w:pPr>
      <w:r>
        <w:rPr>
          <w:rFonts w:ascii="David" w:hAnsi="David"/>
          <w:rtl/>
        </w:rPr>
        <w:t xml:space="preserve">יובהר כי אין באמור כדי לסתום את הגולל מעל הגשת חוות דעת מטעם המשיבים, אלא שעל המשיבים להקדים ולהגיש בקשה למתן רשות להגשת חוות דעת, אשר תועבר לתגובת הצד השני כמתחייב על פי דין. רק לאחר קבלת עמדת שני הצדדים- יחליט בית המשפט האם יש למנות מומחה מטעם בית המשפט, או שמא להתיר הגשת חוות הדעת מטעם המשיבים. </w:t>
      </w:r>
    </w:p>
    <w:p w:rsidR="00B063EB" w:rsidRDefault="00B063EB" w:rsidP="00264867">
      <w:pPr>
        <w:pStyle w:val="ad"/>
        <w:numPr>
          <w:ilvl w:val="0"/>
          <w:numId w:val="6"/>
        </w:numPr>
        <w:spacing w:line="360" w:lineRule="auto"/>
        <w:jc w:val="both"/>
        <w:rPr>
          <w:rFonts w:ascii="Arial" w:hAnsi="Arial"/>
          <w:b/>
          <w:bCs/>
          <w:noProof w:val="0"/>
          <w:rtl/>
        </w:rPr>
      </w:pPr>
      <w:r>
        <w:rPr>
          <w:rFonts w:ascii="Arial" w:hAnsi="Arial"/>
          <w:b/>
          <w:bCs/>
          <w:noProof w:val="0"/>
          <w:rtl/>
        </w:rPr>
        <w:t>לעניין נספח י'-</w:t>
      </w:r>
      <w:r w:rsidR="00264867">
        <w:rPr>
          <w:rFonts w:ascii="Arial" w:hAnsi="Arial"/>
          <w:b/>
          <w:bCs/>
          <w:noProof w:val="0"/>
          <w:rtl/>
        </w:rPr>
        <w:t xml:space="preserve"> תיק גירושין של המנוח מהגב' א</w:t>
      </w:r>
      <w:r w:rsidR="00E43BF7">
        <w:rPr>
          <w:rFonts w:ascii="Arial" w:hAnsi="Arial" w:hint="cs"/>
          <w:b/>
          <w:bCs/>
          <w:noProof w:val="0"/>
          <w:rtl/>
        </w:rPr>
        <w:t>'</w:t>
      </w:r>
      <w:r>
        <w:rPr>
          <w:rFonts w:ascii="Arial" w:hAnsi="Arial"/>
          <w:b/>
          <w:bCs/>
          <w:noProof w:val="0"/>
          <w:rtl/>
        </w:rPr>
        <w:t xml:space="preserve"> משנת 2003 – </w:t>
      </w:r>
    </w:p>
    <w:p w:rsidR="00B063EB" w:rsidRDefault="00B063EB" w:rsidP="00B063EB">
      <w:pPr>
        <w:pStyle w:val="ad"/>
        <w:numPr>
          <w:ilvl w:val="0"/>
          <w:numId w:val="2"/>
        </w:numPr>
        <w:spacing w:line="360" w:lineRule="auto"/>
        <w:jc w:val="both"/>
        <w:rPr>
          <w:rFonts w:ascii="David" w:hAnsi="David"/>
        </w:rPr>
      </w:pPr>
      <w:r>
        <w:rPr>
          <w:rFonts w:ascii="David" w:hAnsi="David"/>
          <w:rtl/>
        </w:rPr>
        <w:t xml:space="preserve">בסעיף 1 לפקודת הראיות נוסח חדש התשל"א 1971 נקבע בין היתר כי בית המשפט רשאי לפי שיקול דעתו לסרב לזמן לעדות אם ראה כי אין בה צורך או שנתבקשה למטרה שאינה גילוי האמת. </w:t>
      </w:r>
    </w:p>
    <w:p w:rsidR="00B063EB" w:rsidRDefault="00B063EB" w:rsidP="00B063EB">
      <w:pPr>
        <w:pStyle w:val="ad"/>
        <w:numPr>
          <w:ilvl w:val="0"/>
          <w:numId w:val="2"/>
        </w:numPr>
        <w:spacing w:line="360" w:lineRule="auto"/>
        <w:jc w:val="both"/>
        <w:rPr>
          <w:rFonts w:ascii="David" w:hAnsi="David"/>
        </w:rPr>
      </w:pPr>
      <w:r>
        <w:rPr>
          <w:rFonts w:ascii="David" w:hAnsi="David"/>
          <w:rtl/>
        </w:rPr>
        <w:t xml:space="preserve">סעיף זה הוחל גם לעניין הגשת ראיות שבכתב. ראה לעניין זה האמור בספרו של י. ואקי </w:t>
      </w:r>
      <w:r>
        <w:rPr>
          <w:rFonts w:ascii="David" w:hAnsi="David"/>
          <w:b/>
          <w:bCs/>
          <w:rtl/>
        </w:rPr>
        <w:t xml:space="preserve">דיני ראיות </w:t>
      </w:r>
      <w:r>
        <w:rPr>
          <w:rFonts w:ascii="David" w:hAnsi="David"/>
          <w:rtl/>
        </w:rPr>
        <w:t xml:space="preserve">התש"פ – 2020 כרך א בע' 118: </w:t>
      </w:r>
    </w:p>
    <w:p w:rsidR="00B063EB" w:rsidRDefault="00B063EB" w:rsidP="00B063EB">
      <w:pPr>
        <w:spacing w:after="80" w:line="320" w:lineRule="exact"/>
        <w:ind w:left="1440"/>
        <w:jc w:val="both"/>
        <w:rPr>
          <w:b/>
          <w:bCs/>
          <w:noProof w:val="0"/>
          <w:sz w:val="22"/>
          <w:szCs w:val="22"/>
          <w:lang w:eastAsia="he-IL"/>
        </w:rPr>
      </w:pPr>
      <w:r>
        <w:rPr>
          <w:b/>
          <w:bCs/>
          <w:noProof w:val="0"/>
          <w:sz w:val="22"/>
          <w:szCs w:val="22"/>
          <w:rtl/>
          <w:lang w:eastAsia="he-IL"/>
        </w:rPr>
        <w:t>"לרעיון העומד ביסודו של הכלל, שלפיו יש להביא לפני בית המשפט אך ורק עדויות וראיות רלוונטיות, יש כמה מופעים- חלקם כללי וחלקם ספציפי- בדין הפלילי ובדין האזרחי. הוא חולש על כל סוג של ראיה או עדות ובכל שלביו של ההליך השיפוטי, כגון:  לעניין זימון עד למתן עדות בבית המשפט או הבאת ראיה לפני בית המשפט, מידת התפרסותם של כתבי בי הדין (כתב טענות, כתב תביעה או כתב הגנה) חקירת עדים בבית המשפט וכיו"ב. נדמה כי מיקומו של עיקרון זה כעיקרון פותח לפקודת הראיות, מצביע יותר מכל על מרכזיותו וחשיבותו. ראיה שאינה רלוונטית אינה קבילה ודי בכך כדי לאסור את השימוש בה במשפט ללא צורך בהוראת פסילה אחרת".</w:t>
      </w:r>
    </w:p>
    <w:p w:rsidR="00B063EB" w:rsidRDefault="00B063EB" w:rsidP="00B063EB">
      <w:pPr>
        <w:spacing w:after="160" w:line="360" w:lineRule="auto"/>
        <w:jc w:val="both"/>
        <w:rPr>
          <w:rFonts w:ascii="David" w:hAnsi="David"/>
          <w:rtl/>
        </w:rPr>
      </w:pPr>
      <w:r>
        <w:rPr>
          <w:rFonts w:ascii="David" w:hAnsi="David"/>
          <w:rtl/>
        </w:rPr>
        <w:t xml:space="preserve">ראה גם המ' 46/57 </w:t>
      </w:r>
      <w:r>
        <w:rPr>
          <w:rFonts w:ascii="David" w:hAnsi="David"/>
          <w:b/>
          <w:bCs/>
          <w:rtl/>
        </w:rPr>
        <w:t xml:space="preserve">העצני נ' בן גוריון </w:t>
      </w:r>
      <w:r w:rsidR="006E325D">
        <w:rPr>
          <w:rFonts w:ascii="David" w:hAnsi="David"/>
          <w:rtl/>
        </w:rPr>
        <w:t>פ"ד י"א 397</w:t>
      </w:r>
      <w:r>
        <w:rPr>
          <w:rFonts w:ascii="David" w:hAnsi="David"/>
          <w:rtl/>
        </w:rPr>
        <w:t>.</w:t>
      </w:r>
    </w:p>
    <w:p w:rsidR="00B063EB" w:rsidRDefault="00B063EB" w:rsidP="00B063EB">
      <w:pPr>
        <w:pStyle w:val="ad"/>
        <w:numPr>
          <w:ilvl w:val="0"/>
          <w:numId w:val="2"/>
        </w:numPr>
        <w:spacing w:line="360" w:lineRule="auto"/>
        <w:ind w:left="360"/>
        <w:jc w:val="both"/>
        <w:rPr>
          <w:rFonts w:ascii="David" w:hAnsi="David"/>
        </w:rPr>
      </w:pPr>
      <w:r>
        <w:rPr>
          <w:rFonts w:ascii="David" w:hAnsi="David"/>
          <w:rtl/>
        </w:rPr>
        <w:lastRenderedPageBreak/>
        <w:t>כך גם עולה מתקנה 62(ב)(12) לתקנות סדר הדין האזרחי התשע"ט – 2018 (להלן: "</w:t>
      </w:r>
      <w:r w:rsidRPr="006E325D">
        <w:rPr>
          <w:rFonts w:ascii="David" w:hAnsi="David"/>
          <w:b/>
          <w:bCs/>
          <w:rtl/>
        </w:rPr>
        <w:t>ת</w:t>
      </w:r>
      <w:r>
        <w:rPr>
          <w:rFonts w:ascii="David" w:hAnsi="David"/>
          <w:b/>
          <w:bCs/>
          <w:rtl/>
        </w:rPr>
        <w:t>קנות סד"א</w:t>
      </w:r>
      <w:r>
        <w:rPr>
          <w:rFonts w:ascii="David" w:hAnsi="David"/>
          <w:rtl/>
        </w:rPr>
        <w:t>") המקנה לבית המשפט את הסמכות "</w:t>
      </w:r>
      <w:r>
        <w:rPr>
          <w:rFonts w:ascii="David" w:hAnsi="David"/>
          <w:b/>
          <w:bCs/>
          <w:sz w:val="22"/>
          <w:szCs w:val="22"/>
          <w:rtl/>
        </w:rPr>
        <w:t>להורות על תיקון כתבי הטענות, מחיקת כל דבר שאינו דרוש לעניין ובירור רשימת השאלות השנויות במחלוקת ועריכת הפלוגתות</w:t>
      </w:r>
      <w:r>
        <w:rPr>
          <w:rFonts w:ascii="David" w:hAnsi="David"/>
          <w:sz w:val="22"/>
          <w:szCs w:val="22"/>
          <w:rtl/>
        </w:rPr>
        <w:t>".</w:t>
      </w:r>
    </w:p>
    <w:p w:rsidR="00B063EB" w:rsidRDefault="00B063EB" w:rsidP="00BD67B3">
      <w:pPr>
        <w:pStyle w:val="ad"/>
        <w:numPr>
          <w:ilvl w:val="0"/>
          <w:numId w:val="2"/>
        </w:numPr>
        <w:spacing w:line="360" w:lineRule="auto"/>
        <w:ind w:left="360"/>
        <w:jc w:val="both"/>
        <w:rPr>
          <w:rFonts w:ascii="David" w:hAnsi="David"/>
        </w:rPr>
      </w:pPr>
      <w:r>
        <w:rPr>
          <w:rFonts w:ascii="David" w:hAnsi="David"/>
          <w:rtl/>
        </w:rPr>
        <w:t xml:space="preserve">עם זאת, על פי הפסיקה, השימוש בסמכות להגבלת עדות עדים/הגשת ראיות הוא נדיר וצריך להיעשות בזהירות רבה ולעיתים נדירות. לעניין זה </w:t>
      </w:r>
      <w:r w:rsidR="00BD67B3">
        <w:rPr>
          <w:rFonts w:ascii="David" w:hAnsi="David" w:hint="cs"/>
          <w:rtl/>
        </w:rPr>
        <w:t xml:space="preserve">ראה האמור </w:t>
      </w:r>
      <w:r>
        <w:rPr>
          <w:rFonts w:ascii="David" w:hAnsi="David"/>
          <w:b/>
          <w:bCs/>
          <w:rtl/>
        </w:rPr>
        <w:t>ב</w:t>
      </w:r>
      <w:r w:rsidR="006E325D">
        <w:rPr>
          <w:rFonts w:ascii="David" w:hAnsi="David" w:hint="cs"/>
          <w:b/>
          <w:bCs/>
          <w:rtl/>
        </w:rPr>
        <w:t>רע"א 9055/07</w:t>
      </w:r>
      <w:r>
        <w:rPr>
          <w:rFonts w:ascii="David" w:hAnsi="David"/>
          <w:b/>
          <w:bCs/>
          <w:rtl/>
        </w:rPr>
        <w:t xml:space="preserve"> שירותי בריאות כללית נ' נאצר </w:t>
      </w:r>
      <w:r>
        <w:rPr>
          <w:rFonts w:ascii="David" w:hAnsi="David"/>
          <w:rtl/>
        </w:rPr>
        <w:t>(ניתן ביום 22.11.2007)</w:t>
      </w:r>
      <w:r>
        <w:rPr>
          <w:rFonts w:ascii="David" w:hAnsi="David"/>
          <w:b/>
          <w:bCs/>
          <w:rtl/>
        </w:rPr>
        <w:t>:</w:t>
      </w:r>
    </w:p>
    <w:p w:rsidR="00B063EB" w:rsidRDefault="00B063EB" w:rsidP="00B063EB">
      <w:pPr>
        <w:spacing w:after="80" w:line="320" w:lineRule="exact"/>
        <w:ind w:left="1440"/>
        <w:jc w:val="both"/>
        <w:rPr>
          <w:b/>
          <w:bCs/>
          <w:noProof w:val="0"/>
          <w:sz w:val="22"/>
          <w:szCs w:val="22"/>
          <w:lang w:eastAsia="he-IL"/>
        </w:rPr>
      </w:pPr>
      <w:r>
        <w:rPr>
          <w:b/>
          <w:bCs/>
          <w:noProof w:val="0"/>
          <w:sz w:val="22"/>
          <w:szCs w:val="22"/>
          <w:rtl/>
          <w:lang w:eastAsia="he-IL"/>
        </w:rPr>
        <w:t xml:space="preserve">"כאשר מדובר בעדות שהינה בעליל לא רלוונטית רשאי בית המשפט לסרב לבקשה לזימון העד, מכיוון שמדובר בעדות ש'אין בה צורך' כלשון סעיף 1(ב) לפקודה. עם זאת די בכך שעל פני הדברים לא ניתן לשלול את הרלוונטיות של העדות – על מנת לאשרה. בהקשר זה יש גם להעיר שאין לייחד שלב זה של אישור הזימון בידי בית המשפט לבדיקה קפדנית של התועלת העשויה לצמוח לבעל הדין מן העדות ..". </w:t>
      </w:r>
    </w:p>
    <w:p w:rsidR="00B063EB" w:rsidRDefault="00B063EB" w:rsidP="00B063EB">
      <w:pPr>
        <w:pStyle w:val="ad"/>
        <w:numPr>
          <w:ilvl w:val="0"/>
          <w:numId w:val="2"/>
        </w:numPr>
        <w:spacing w:line="360" w:lineRule="auto"/>
        <w:ind w:left="360"/>
        <w:jc w:val="both"/>
        <w:rPr>
          <w:rFonts w:ascii="David" w:hAnsi="David"/>
          <w:rtl/>
        </w:rPr>
      </w:pPr>
      <w:r>
        <w:rPr>
          <w:rFonts w:ascii="David" w:hAnsi="David"/>
          <w:rtl/>
        </w:rPr>
        <w:t xml:space="preserve">כן ראה האמור  ברע"א 3956/24 </w:t>
      </w:r>
      <w:r>
        <w:rPr>
          <w:rFonts w:ascii="David" w:hAnsi="David"/>
          <w:b/>
          <w:bCs/>
          <w:rtl/>
        </w:rPr>
        <w:t xml:space="preserve">פרץ נ' ליבוביץ </w:t>
      </w:r>
      <w:r>
        <w:rPr>
          <w:rFonts w:ascii="David" w:hAnsi="David"/>
          <w:rtl/>
        </w:rPr>
        <w:t xml:space="preserve"> (ניתן ביום 28.7.24 ) :</w:t>
      </w:r>
    </w:p>
    <w:p w:rsidR="00B063EB" w:rsidRDefault="00B063EB" w:rsidP="00B063EB">
      <w:pPr>
        <w:spacing w:after="80" w:line="320" w:lineRule="exact"/>
        <w:ind w:left="1440"/>
        <w:jc w:val="both"/>
        <w:rPr>
          <w:b/>
          <w:bCs/>
          <w:noProof w:val="0"/>
          <w:sz w:val="22"/>
          <w:szCs w:val="22"/>
          <w:lang w:eastAsia="he-IL"/>
        </w:rPr>
      </w:pPr>
      <w:r>
        <w:rPr>
          <w:b/>
          <w:bCs/>
          <w:noProof w:val="0"/>
          <w:sz w:val="22"/>
          <w:szCs w:val="22"/>
          <w:rtl/>
          <w:lang w:eastAsia="he-IL"/>
        </w:rPr>
        <w:t>"נקבע לא אחת כי בכל הנוגע לבקשות לזימון עדים יש לנהוג גישה ליברלית, שלפיה ככל שהעדות רלוונטית, על פני הדברים, לבירור הסוגיות שבמחלוקת – על בית המשפט לאפשר את שמיעתה ...טעם לכך נעוץ בחשיבות מתן ההיתר לזימונם של עדים לקיומו של הליך שיפוטי ראוי והוגן – הן על מנת ליתן לבעל הדין הזדמנות מלאה להוכיח את טענותיו והן לשם הגעה לחקר האמת..".</w:t>
      </w:r>
    </w:p>
    <w:p w:rsidR="00B063EB" w:rsidRDefault="00B063EB" w:rsidP="00B063EB">
      <w:pPr>
        <w:pStyle w:val="Ruller5"/>
        <w:ind w:left="720"/>
        <w:rPr>
          <w:rFonts w:ascii="David" w:hAnsi="David" w:cs="David"/>
          <w:b/>
          <w:bCs/>
          <w:szCs w:val="22"/>
          <w:rtl/>
        </w:rPr>
      </w:pPr>
    </w:p>
    <w:p w:rsidR="00B063EB" w:rsidRPr="00D733FF" w:rsidRDefault="00B063EB" w:rsidP="00B063EB">
      <w:pPr>
        <w:pStyle w:val="ad"/>
        <w:numPr>
          <w:ilvl w:val="0"/>
          <w:numId w:val="2"/>
        </w:numPr>
        <w:spacing w:line="360" w:lineRule="auto"/>
        <w:ind w:left="360"/>
        <w:jc w:val="both"/>
        <w:rPr>
          <w:rFonts w:ascii="David" w:hAnsi="David"/>
          <w:rtl/>
        </w:rPr>
      </w:pPr>
      <w:r w:rsidRPr="00D733FF">
        <w:rPr>
          <w:color w:val="000000"/>
          <w:rtl/>
        </w:rPr>
        <w:t>ב</w:t>
      </w:r>
      <w:hyperlink r:id="rId16" w:history="1">
        <w:r w:rsidRPr="00D733FF">
          <w:rPr>
            <w:rStyle w:val="Hyperlink"/>
            <w:color w:val="000000"/>
            <w:u w:val="none"/>
            <w:rtl/>
          </w:rPr>
          <w:t xml:space="preserve">ע"א 34/71  </w:t>
        </w:r>
        <w:r w:rsidRPr="00D733FF">
          <w:rPr>
            <w:rStyle w:val="Hyperlink"/>
            <w:b/>
            <w:bCs/>
            <w:color w:val="000000"/>
            <w:u w:val="none"/>
            <w:rtl/>
          </w:rPr>
          <w:t>פרידמן נ' חן,</w:t>
        </w:r>
        <w:r w:rsidRPr="00D733FF">
          <w:rPr>
            <w:rStyle w:val="Hyperlink"/>
            <w:color w:val="000000"/>
            <w:u w:val="none"/>
            <w:rtl/>
          </w:rPr>
          <w:t xml:space="preserve"> </w:t>
        </w:r>
        <w:r w:rsidRPr="00D733FF">
          <w:rPr>
            <w:rStyle w:val="Hyperlink"/>
            <w:rFonts w:hint="cs"/>
            <w:color w:val="000000"/>
            <w:u w:val="none"/>
          </w:rPr>
          <w:t xml:space="preserve"> </w:t>
        </w:r>
        <w:r w:rsidRPr="00D733FF">
          <w:rPr>
            <w:rStyle w:val="Hyperlink"/>
            <w:color w:val="000000"/>
            <w:u w:val="none"/>
            <w:rtl/>
          </w:rPr>
          <w:t>כו(1) 524 (1972)‏</w:t>
        </w:r>
      </w:hyperlink>
      <w:r w:rsidRPr="00D733FF">
        <w:rPr>
          <w:color w:val="000000"/>
          <w:rtl/>
        </w:rPr>
        <w:t>‏ נקבע מתי לא תקובל ראיה או עדות:</w:t>
      </w:r>
    </w:p>
    <w:p w:rsidR="00B063EB" w:rsidRDefault="00B063EB" w:rsidP="00B063EB">
      <w:pPr>
        <w:spacing w:after="80" w:line="320" w:lineRule="exact"/>
        <w:ind w:left="1440"/>
        <w:jc w:val="both"/>
        <w:rPr>
          <w:b/>
          <w:bCs/>
          <w:noProof w:val="0"/>
          <w:sz w:val="22"/>
          <w:szCs w:val="22"/>
          <w:lang w:eastAsia="he-IL"/>
        </w:rPr>
      </w:pPr>
      <w:r>
        <w:rPr>
          <w:b/>
          <w:bCs/>
          <w:noProof w:val="0"/>
          <w:sz w:val="22"/>
          <w:szCs w:val="22"/>
          <w:rtl/>
          <w:lang w:eastAsia="he-IL"/>
        </w:rPr>
        <w:t>"בעל-דין הביא טענה ועשוי להביא ראיה להוכחתה - שאפילו תוכח, לא תסייע בידו: כמקרה של התובע. מפני שהעובדה שנטענה אינה מעמידה לו זכות סעד, ובמקרה של הנתבע מפני שהעובדה אינה משמשת לו מגן. טענה כזאת באה בגדר תקנה 96, לא על שום שהיא מבישה, אלא על שום שהיא עלולה לסבך ולהשהות את הדיון בפתחה פתח להבאת ראיות כלא שגבייתן תשפיע על תוצאות המשפט. מחובתו של בית-המשפט לייעל את הדיון. ובשבתו בקדם-משפט חייב הוא. על-פי תקנה 143 (1), "למחוק כל דבר שאינו דרוש לענין". בעשותו כן אין בית-המשפט כופה על הנתבע לנקוט קו הגנה פלוני, אלא הדין קובע מה משמש לו הגנה מפני התביעה. טען דבר שעל-פי דין אינו משמש הגנה, הטענה אינה דרושה ועל השופט למחקה</w:t>
      </w:r>
      <w:r>
        <w:rPr>
          <w:b/>
          <w:bCs/>
          <w:noProof w:val="0"/>
          <w:sz w:val="22"/>
          <w:szCs w:val="22"/>
          <w:lang w:eastAsia="he-IL"/>
        </w:rPr>
        <w:t>."</w:t>
      </w:r>
    </w:p>
    <w:p w:rsidR="00B063EB" w:rsidRDefault="00B063EB" w:rsidP="00B063EB">
      <w:pPr>
        <w:pStyle w:val="ad"/>
        <w:numPr>
          <w:ilvl w:val="0"/>
          <w:numId w:val="2"/>
        </w:numPr>
        <w:spacing w:line="360" w:lineRule="auto"/>
        <w:ind w:left="360"/>
        <w:jc w:val="both"/>
        <w:rPr>
          <w:rFonts w:ascii="David" w:hAnsi="David"/>
          <w:rtl/>
        </w:rPr>
      </w:pPr>
      <w:r>
        <w:rPr>
          <w:color w:val="000000"/>
          <w:rtl/>
        </w:rPr>
        <w:t>לאור</w:t>
      </w:r>
      <w:r>
        <w:rPr>
          <w:rFonts w:ascii="David" w:hAnsi="David"/>
          <w:rtl/>
        </w:rPr>
        <w:t xml:space="preserve"> האמור- הגעתי לכלל מסקנה כי אין מקום לצרף לחומר הראיו</w:t>
      </w:r>
      <w:r w:rsidR="00264867">
        <w:rPr>
          <w:rFonts w:ascii="David" w:hAnsi="David"/>
          <w:rtl/>
        </w:rPr>
        <w:t>ת את תיק הגירושין של המנוח מא</w:t>
      </w:r>
      <w:r w:rsidR="00264867">
        <w:rPr>
          <w:rFonts w:ascii="David" w:hAnsi="David" w:hint="cs"/>
          <w:rtl/>
        </w:rPr>
        <w:t>'</w:t>
      </w:r>
      <w:r>
        <w:rPr>
          <w:rFonts w:ascii="David" w:hAnsi="David"/>
          <w:rtl/>
        </w:rPr>
        <w:t xml:space="preserve">, אשתו השניה, משנת 2003. אנמק טעמיי. </w:t>
      </w:r>
    </w:p>
    <w:p w:rsidR="00B063EB" w:rsidRDefault="00B063EB" w:rsidP="00B063EB">
      <w:pPr>
        <w:pStyle w:val="ad"/>
        <w:numPr>
          <w:ilvl w:val="0"/>
          <w:numId w:val="2"/>
        </w:numPr>
        <w:spacing w:line="360" w:lineRule="auto"/>
        <w:ind w:left="360"/>
        <w:jc w:val="both"/>
        <w:rPr>
          <w:rFonts w:ascii="David" w:hAnsi="David"/>
        </w:rPr>
      </w:pPr>
      <w:r>
        <w:rPr>
          <w:color w:val="000000"/>
          <w:rtl/>
        </w:rPr>
        <w:t>ראשית</w:t>
      </w:r>
      <w:r>
        <w:rPr>
          <w:rFonts w:ascii="David" w:hAnsi="David"/>
          <w:rtl/>
        </w:rPr>
        <w:t xml:space="preserve">, יש להעיר כי מדובר בהליכים שמתנהלים בדלתיים סגורות (ראה תקנות נב ו- נד לתקנות הדיון בבתי הדין הרבניים בישראל – התשנ"ג) </w:t>
      </w:r>
      <w:r w:rsidR="00264867">
        <w:rPr>
          <w:rFonts w:ascii="David" w:hAnsi="David"/>
          <w:rtl/>
        </w:rPr>
        <w:t>וכלל לא ברור האם נתנה הסכמת א</w:t>
      </w:r>
      <w:r w:rsidR="00264867">
        <w:rPr>
          <w:rFonts w:ascii="David" w:hAnsi="David" w:hint="cs"/>
          <w:rtl/>
        </w:rPr>
        <w:t>'</w:t>
      </w:r>
      <w:r>
        <w:rPr>
          <w:rFonts w:ascii="David" w:hAnsi="David"/>
          <w:rtl/>
        </w:rPr>
        <w:t xml:space="preserve"> /אישור הערכאה המוסמכת להגשת המסמכים הנ"ל.  </w:t>
      </w:r>
    </w:p>
    <w:p w:rsidR="00B063EB" w:rsidRDefault="00B063EB" w:rsidP="00B063EB">
      <w:pPr>
        <w:pStyle w:val="ad"/>
        <w:numPr>
          <w:ilvl w:val="0"/>
          <w:numId w:val="2"/>
        </w:numPr>
        <w:spacing w:line="360" w:lineRule="auto"/>
        <w:ind w:left="360"/>
        <w:jc w:val="both"/>
        <w:rPr>
          <w:rFonts w:ascii="David" w:hAnsi="David"/>
        </w:rPr>
      </w:pPr>
      <w:r>
        <w:rPr>
          <w:rFonts w:ascii="David" w:hAnsi="David"/>
          <w:rtl/>
        </w:rPr>
        <w:t xml:space="preserve">שנית, וכאן העיקר- בתיק דנן עסקינן בבקשה לצו קיום צוואת המנוח משנת 2013 ולהתנגדות לקיום הצוואה הנ"ל. </w:t>
      </w:r>
      <w:r w:rsidRPr="00BE67A3">
        <w:rPr>
          <w:rFonts w:ascii="David" w:hAnsi="David"/>
          <w:b/>
          <w:bCs/>
          <w:rtl/>
        </w:rPr>
        <w:t>הא ותו לא.</w:t>
      </w:r>
      <w:r>
        <w:rPr>
          <w:rFonts w:ascii="David" w:hAnsi="David"/>
          <w:rtl/>
        </w:rPr>
        <w:t xml:space="preserve"> הלכה </w:t>
      </w:r>
      <w:r>
        <w:rPr>
          <w:color w:val="000000"/>
          <w:rtl/>
        </w:rPr>
        <w:t>פסוקה</w:t>
      </w:r>
      <w:r>
        <w:rPr>
          <w:rFonts w:ascii="David" w:hAnsi="David"/>
          <w:rtl/>
        </w:rPr>
        <w:t xml:space="preserve"> היא כי במסגרת בקשה לצו קיום צוואה/ירושה, </w:t>
      </w:r>
      <w:r>
        <w:rPr>
          <w:rFonts w:ascii="David" w:hAnsi="David"/>
          <w:rtl/>
        </w:rPr>
        <w:lastRenderedPageBreak/>
        <w:t xml:space="preserve">אין בית המשפט דן במחלוקות בנוגע להיקף העזבון. ראה למשל ע"א 2698/92 </w:t>
      </w:r>
      <w:r>
        <w:rPr>
          <w:rFonts w:ascii="David" w:hAnsi="David"/>
          <w:b/>
          <w:bCs/>
          <w:rtl/>
        </w:rPr>
        <w:t xml:space="preserve">יונה נ' אדלמן </w:t>
      </w:r>
      <w:r>
        <w:rPr>
          <w:rFonts w:ascii="David" w:hAnsi="David"/>
          <w:rtl/>
        </w:rPr>
        <w:t xml:space="preserve">, פ"ד מח </w:t>
      </w:r>
      <w:r>
        <w:rPr>
          <w:noProof w:val="0"/>
          <w:sz w:val="22"/>
          <w:rtl/>
          <w:lang w:eastAsia="he-IL"/>
        </w:rPr>
        <w:t>(3) 275 :</w:t>
      </w:r>
    </w:p>
    <w:p w:rsidR="00B063EB" w:rsidRDefault="00B063EB" w:rsidP="00B063EB">
      <w:pPr>
        <w:spacing w:after="80" w:line="320" w:lineRule="exact"/>
        <w:ind w:left="1440"/>
        <w:jc w:val="both"/>
        <w:rPr>
          <w:b/>
          <w:bCs/>
          <w:noProof w:val="0"/>
          <w:sz w:val="22"/>
          <w:szCs w:val="22"/>
          <w:lang w:eastAsia="he-IL"/>
        </w:rPr>
      </w:pPr>
      <w:r>
        <w:rPr>
          <w:b/>
          <w:bCs/>
          <w:noProof w:val="0"/>
          <w:sz w:val="22"/>
          <w:szCs w:val="22"/>
          <w:rtl/>
          <w:lang w:eastAsia="he-IL"/>
        </w:rPr>
        <w:t>" אין חולק  כי אין אדם יכול להוריש יותר ממה שיש לו ו</w:t>
      </w:r>
      <w:r w:rsidR="00BE67A3">
        <w:rPr>
          <w:b/>
          <w:bCs/>
          <w:noProof w:val="0"/>
          <w:sz w:val="22"/>
          <w:szCs w:val="22"/>
          <w:rtl/>
          <w:lang w:eastAsia="he-IL"/>
        </w:rPr>
        <w:t>אין אדם יכול להוריש</w:t>
      </w:r>
      <w:r>
        <w:rPr>
          <w:b/>
          <w:bCs/>
          <w:noProof w:val="0"/>
          <w:sz w:val="22"/>
          <w:szCs w:val="22"/>
          <w:rtl/>
          <w:lang w:eastAsia="he-IL"/>
        </w:rPr>
        <w:t xml:space="preserve"> נכסים  שאינם  שייכים לו. אין מחלוקת, כי חוק הירושה</w:t>
      </w:r>
      <w:r>
        <w:rPr>
          <w:b/>
          <w:bCs/>
          <w:noProof w:val="0"/>
          <w:color w:val="0000FF"/>
          <w:sz w:val="22"/>
          <w:szCs w:val="22"/>
          <w:rtl/>
          <w:lang w:eastAsia="he-IL"/>
        </w:rPr>
        <w:t xml:space="preserve"> </w:t>
      </w:r>
      <w:r>
        <w:rPr>
          <w:b/>
          <w:bCs/>
          <w:noProof w:val="0"/>
          <w:sz w:val="22"/>
          <w:szCs w:val="22"/>
          <w:rtl/>
          <w:lang w:eastAsia="he-IL"/>
        </w:rPr>
        <w:t xml:space="preserve"> מבחין בין  נושא  קיום  צוואה לבין נושא היקף נכסי העיזבון. אלה הם שני נושאים נפרדים הכלולים בפרקים נפרדים של החוק והנדונים בהליכים נפרדים.</w:t>
      </w:r>
    </w:p>
    <w:p w:rsidR="00B063EB" w:rsidRDefault="00B063EB" w:rsidP="006E325D">
      <w:pPr>
        <w:spacing w:after="80" w:line="320" w:lineRule="exact"/>
        <w:ind w:left="1440"/>
        <w:jc w:val="both"/>
        <w:rPr>
          <w:b/>
          <w:bCs/>
          <w:noProof w:val="0"/>
          <w:sz w:val="22"/>
          <w:szCs w:val="22"/>
          <w:rtl/>
          <w:lang w:eastAsia="he-IL"/>
        </w:rPr>
      </w:pPr>
      <w:r>
        <w:rPr>
          <w:b/>
          <w:bCs/>
          <w:noProof w:val="0"/>
          <w:sz w:val="22"/>
          <w:szCs w:val="22"/>
          <w:rtl/>
          <w:lang w:eastAsia="he-IL"/>
        </w:rPr>
        <w:t xml:space="preserve">בית המשפט  אינו  קובע – בהליך  של צו ירושה - את היקף נכסיו של הנפטר ואת  פירוטם, ושאלת תוקפו של מסמך מתנה או של הסכם, אינה עומדת לדיון  בהליך של הוצאת צו </w:t>
      </w:r>
      <w:r w:rsidRPr="006E325D">
        <w:rPr>
          <w:b/>
          <w:bCs/>
          <w:noProof w:val="0"/>
          <w:sz w:val="22"/>
          <w:szCs w:val="22"/>
          <w:rtl/>
          <w:lang w:eastAsia="he-IL"/>
        </w:rPr>
        <w:t>ירושה (</w:t>
      </w:r>
      <w:hyperlink r:id="rId17" w:history="1">
        <w:r w:rsidRPr="006E325D">
          <w:rPr>
            <w:b/>
            <w:bCs/>
            <w:rtl/>
          </w:rPr>
          <w:t>ע"א 12/83 לוי עמרם נ' דוד עמרם ואח',  פ"ד  לח</w:t>
        </w:r>
      </w:hyperlink>
      <w:r w:rsidRPr="006E325D">
        <w:rPr>
          <w:b/>
          <w:bCs/>
          <w:noProof w:val="0"/>
          <w:sz w:val="22"/>
          <w:szCs w:val="22"/>
          <w:rtl/>
          <w:lang w:eastAsia="he-IL"/>
        </w:rPr>
        <w:t>(3)  556). הוא הדין בצו קיום צוואה, אף ששם יש שהצוואה כוללת  פירוט  רכוש  שאותו  מחלק</w:t>
      </w:r>
      <w:r>
        <w:rPr>
          <w:b/>
          <w:bCs/>
          <w:noProof w:val="0"/>
          <w:sz w:val="22"/>
          <w:szCs w:val="22"/>
          <w:rtl/>
          <w:lang w:eastAsia="he-IL"/>
        </w:rPr>
        <w:t xml:space="preserve">  המצווה, ולאו דווקא חלוקת העיזבון בחלקים  ללא  זיהוי  הרכוש  עצמו.  גם כאן השאלה אם הנכסים שעליהם ציווה  המצווה  היו  בבעלותו  אם  לאו, אינה ענין לבית המשפט בדונו בשאלה אם להיעתר לבקשה להוצאת צו קיום צוואה, אם </w:t>
      </w:r>
      <w:r w:rsidR="006E325D">
        <w:rPr>
          <w:b/>
          <w:bCs/>
          <w:noProof w:val="0"/>
          <w:sz w:val="22"/>
          <w:szCs w:val="22"/>
          <w:rtl/>
          <w:lang w:eastAsia="he-IL"/>
        </w:rPr>
        <w:t xml:space="preserve">לדחותה </w:t>
      </w:r>
      <w:r w:rsidR="006E325D">
        <w:rPr>
          <w:rFonts w:hint="cs"/>
          <w:b/>
          <w:bCs/>
          <w:noProof w:val="0"/>
          <w:sz w:val="22"/>
          <w:szCs w:val="22"/>
          <w:rtl/>
          <w:lang w:eastAsia="he-IL"/>
        </w:rPr>
        <w:t>..</w:t>
      </w:r>
      <w:r>
        <w:rPr>
          <w:b/>
          <w:bCs/>
          <w:noProof w:val="0"/>
          <w:sz w:val="22"/>
          <w:szCs w:val="22"/>
          <w:rtl/>
          <w:lang w:eastAsia="he-IL"/>
        </w:rPr>
        <w:t xml:space="preserve">." </w:t>
      </w:r>
    </w:p>
    <w:p w:rsidR="00B063EB" w:rsidRDefault="00B063EB" w:rsidP="00D733FF">
      <w:pPr>
        <w:pStyle w:val="ad"/>
        <w:numPr>
          <w:ilvl w:val="0"/>
          <w:numId w:val="2"/>
        </w:numPr>
        <w:spacing w:line="360" w:lineRule="auto"/>
        <w:ind w:left="360"/>
        <w:jc w:val="both"/>
        <w:rPr>
          <w:rFonts w:ascii="David" w:hAnsi="David"/>
        </w:rPr>
      </w:pPr>
      <w:r>
        <w:rPr>
          <w:rFonts w:ascii="David" w:hAnsi="David"/>
          <w:rtl/>
        </w:rPr>
        <w:t>כן ראה</w:t>
      </w:r>
      <w:r w:rsidR="00D733FF">
        <w:rPr>
          <w:rFonts w:ascii="David" w:hAnsi="David" w:hint="cs"/>
          <w:rtl/>
        </w:rPr>
        <w:t xml:space="preserve"> ע"א 240/63 </w:t>
      </w:r>
      <w:r w:rsidR="00D733FF">
        <w:rPr>
          <w:rFonts w:ascii="David" w:hAnsi="David" w:hint="cs"/>
          <w:b/>
          <w:bCs/>
          <w:rtl/>
        </w:rPr>
        <w:t xml:space="preserve">פוקס נ' המוציאים לפועל של צוואת גיטל פוקס </w:t>
      </w:r>
      <w:r w:rsidR="00D733FF">
        <w:rPr>
          <w:rFonts w:ascii="David" w:hAnsi="David" w:hint="cs"/>
          <w:rtl/>
        </w:rPr>
        <w:t>פ"ד יז</w:t>
      </w:r>
      <w:r>
        <w:rPr>
          <w:rFonts w:ascii="David" w:hAnsi="David"/>
          <w:rtl/>
        </w:rPr>
        <w:t xml:space="preserve"> (3)  עמ'  2097:</w:t>
      </w:r>
    </w:p>
    <w:p w:rsidR="00B063EB" w:rsidRDefault="00B063EB" w:rsidP="00B063EB">
      <w:pPr>
        <w:spacing w:after="80" w:line="320" w:lineRule="exact"/>
        <w:ind w:left="1440"/>
        <w:jc w:val="both"/>
        <w:rPr>
          <w:b/>
          <w:bCs/>
          <w:noProof w:val="0"/>
          <w:sz w:val="22"/>
          <w:szCs w:val="22"/>
          <w:lang w:eastAsia="he-IL"/>
        </w:rPr>
      </w:pPr>
      <w:r>
        <w:rPr>
          <w:b/>
          <w:bCs/>
          <w:noProof w:val="0"/>
          <w:sz w:val="22"/>
          <w:szCs w:val="22"/>
          <w:rtl/>
          <w:lang w:eastAsia="he-IL"/>
        </w:rPr>
        <w:t xml:space="preserve">"מכאן שסמכותו של בית-המשפט בעניין בקשות לקיום צוואה היא רק לבדוק אם הצוואה תופסת מבחינת הוראות החוק החל עליה מבחינת עריכת צוואות... </w:t>
      </w:r>
    </w:p>
    <w:p w:rsidR="00B063EB" w:rsidRDefault="00B063EB" w:rsidP="00B063EB">
      <w:pPr>
        <w:spacing w:after="80" w:line="320" w:lineRule="exact"/>
        <w:ind w:left="1440"/>
        <w:jc w:val="both"/>
        <w:rPr>
          <w:b/>
          <w:bCs/>
          <w:noProof w:val="0"/>
          <w:sz w:val="22"/>
          <w:szCs w:val="22"/>
          <w:rtl/>
          <w:lang w:eastAsia="he-IL"/>
        </w:rPr>
      </w:pPr>
      <w:r>
        <w:rPr>
          <w:b/>
          <w:bCs/>
          <w:noProof w:val="0"/>
          <w:sz w:val="22"/>
          <w:szCs w:val="22"/>
          <w:rtl/>
          <w:lang w:eastAsia="he-IL"/>
        </w:rPr>
        <w:t xml:space="preserve">משניתן צו -קיום –צוואה ונמצא מישהו החולק על זכותו של המצווה ברכוש שציווה עליו והטוען לזכותו ברכוש הזה, פתוחה לפניו הדרך להביא את עצומותיו לבית-המשפט המוסמך לכך ולקבל את הסעד המתאים." </w:t>
      </w:r>
    </w:p>
    <w:p w:rsidR="00B063EB" w:rsidRPr="00BE67A3" w:rsidRDefault="00BE67A3" w:rsidP="00BE67A3">
      <w:pPr>
        <w:pStyle w:val="ad"/>
        <w:numPr>
          <w:ilvl w:val="0"/>
          <w:numId w:val="2"/>
        </w:numPr>
        <w:spacing w:line="360" w:lineRule="auto"/>
        <w:ind w:left="360"/>
        <w:jc w:val="both"/>
        <w:rPr>
          <w:rFonts w:ascii="David" w:hAnsi="David"/>
        </w:rPr>
      </w:pPr>
      <w:r>
        <w:rPr>
          <w:rFonts w:ascii="David" w:hAnsi="David" w:hint="cs"/>
          <w:rtl/>
        </w:rPr>
        <w:t>בענייננו</w:t>
      </w:r>
      <w:r w:rsidR="00B063EB">
        <w:rPr>
          <w:rFonts w:ascii="David" w:hAnsi="David"/>
          <w:rtl/>
        </w:rPr>
        <w:t xml:space="preserve">, ממילא לא יהיה בהצגת האסמכתאות מתיק הגירושין של המנוח משנת 2003, לצורך הוכחת רכוש נטען של המנוח בחייו, כדי להצמיח למשיבים סעד </w:t>
      </w:r>
      <w:r w:rsidR="00B063EB" w:rsidRPr="00BE67A3">
        <w:rPr>
          <w:rFonts w:ascii="David" w:hAnsi="David"/>
          <w:b/>
          <w:bCs/>
          <w:rtl/>
        </w:rPr>
        <w:t>בהליך זה</w:t>
      </w:r>
      <w:r>
        <w:rPr>
          <w:rFonts w:ascii="David" w:hAnsi="David" w:hint="cs"/>
          <w:b/>
          <w:bCs/>
          <w:rtl/>
        </w:rPr>
        <w:t>,</w:t>
      </w:r>
      <w:r>
        <w:rPr>
          <w:rFonts w:ascii="David" w:hAnsi="David" w:hint="cs"/>
          <w:rtl/>
        </w:rPr>
        <w:t xml:space="preserve"> שכאמור עניינו בחינת כשרות הצוואה</w:t>
      </w:r>
      <w:r w:rsidR="00B063EB" w:rsidRPr="00BE67A3">
        <w:rPr>
          <w:rFonts w:ascii="David" w:hAnsi="David"/>
          <w:b/>
          <w:bCs/>
          <w:rtl/>
        </w:rPr>
        <w:t>.</w:t>
      </w:r>
      <w:r w:rsidRPr="00BE67A3">
        <w:rPr>
          <w:rFonts w:ascii="David" w:hAnsi="David"/>
          <w:rtl/>
        </w:rPr>
        <w:t xml:space="preserve"> </w:t>
      </w:r>
      <w:r w:rsidR="00B063EB" w:rsidRPr="00BE67A3">
        <w:rPr>
          <w:rFonts w:ascii="David" w:hAnsi="David"/>
          <w:rtl/>
        </w:rPr>
        <w:t>מנגד, יש בצירוף אסמכתאות אלו כדי להאריך ולסרבל הדיון שלא לצורך, וזאת תוך פגיעה בפרטיות המנוח וצד ג'.</w:t>
      </w:r>
    </w:p>
    <w:p w:rsidR="00B063EB" w:rsidRDefault="00B063EB" w:rsidP="00B063EB">
      <w:pPr>
        <w:pStyle w:val="ad"/>
        <w:numPr>
          <w:ilvl w:val="0"/>
          <w:numId w:val="2"/>
        </w:numPr>
        <w:spacing w:line="360" w:lineRule="auto"/>
        <w:ind w:left="360"/>
        <w:jc w:val="both"/>
        <w:rPr>
          <w:rFonts w:ascii="David" w:hAnsi="David"/>
        </w:rPr>
      </w:pPr>
      <w:r>
        <w:rPr>
          <w:rFonts w:ascii="David" w:hAnsi="David"/>
          <w:rtl/>
        </w:rPr>
        <w:t>על כן- אני מורה על הוצאת המסמכים הקשורים ל</w:t>
      </w:r>
      <w:r w:rsidR="00264867">
        <w:rPr>
          <w:rFonts w:ascii="David" w:hAnsi="David"/>
          <w:rtl/>
        </w:rPr>
        <w:t>תיק הגירושין של המנוח מהגב' א</w:t>
      </w:r>
      <w:r w:rsidR="00264867">
        <w:rPr>
          <w:rFonts w:ascii="David" w:hAnsi="David" w:hint="cs"/>
          <w:rtl/>
        </w:rPr>
        <w:t>'</w:t>
      </w:r>
      <w:r>
        <w:rPr>
          <w:rFonts w:ascii="David" w:hAnsi="David"/>
          <w:rtl/>
        </w:rPr>
        <w:t xml:space="preserve"> מהמוצגים שהוגשו בתצהירי המשיבים. </w:t>
      </w:r>
    </w:p>
    <w:p w:rsidR="00EB3C89" w:rsidRDefault="00EB3C89" w:rsidP="00EB3C89">
      <w:pPr>
        <w:pStyle w:val="ad"/>
        <w:spacing w:line="360" w:lineRule="auto"/>
        <w:ind w:left="360"/>
        <w:jc w:val="both"/>
        <w:rPr>
          <w:rFonts w:ascii="David" w:hAnsi="David"/>
        </w:rPr>
      </w:pPr>
    </w:p>
    <w:p w:rsidR="00B063EB" w:rsidRDefault="00B063EB" w:rsidP="00EB3C89">
      <w:pPr>
        <w:pStyle w:val="ad"/>
        <w:numPr>
          <w:ilvl w:val="0"/>
          <w:numId w:val="5"/>
        </w:numPr>
        <w:spacing w:line="360" w:lineRule="auto"/>
        <w:jc w:val="both"/>
        <w:rPr>
          <w:rFonts w:ascii="Arial" w:hAnsi="Arial"/>
          <w:b/>
          <w:bCs/>
          <w:noProof w:val="0"/>
        </w:rPr>
      </w:pPr>
      <w:r>
        <w:rPr>
          <w:rFonts w:ascii="Arial" w:hAnsi="Arial"/>
          <w:b/>
          <w:bCs/>
          <w:noProof w:val="0"/>
          <w:rtl/>
        </w:rPr>
        <w:t>לעניין נספחים י"ב, י"ג, י"ד ו- ט"ז, מסמכים רפ</w:t>
      </w:r>
      <w:r w:rsidR="00EB3C89">
        <w:rPr>
          <w:rFonts w:ascii="Arial" w:hAnsi="Arial"/>
          <w:b/>
          <w:bCs/>
          <w:noProof w:val="0"/>
          <w:rtl/>
        </w:rPr>
        <w:t>ואיים של המנוח לשנים 2009 ואילך</w:t>
      </w:r>
      <w:r w:rsidR="00EB3C89">
        <w:rPr>
          <w:rFonts w:ascii="Arial" w:hAnsi="Arial" w:hint="cs"/>
          <w:b/>
          <w:bCs/>
          <w:noProof w:val="0"/>
          <w:rtl/>
        </w:rPr>
        <w:t xml:space="preserve">- </w:t>
      </w:r>
    </w:p>
    <w:p w:rsidR="00B063EB" w:rsidRPr="00BE67A3" w:rsidRDefault="00B063EB" w:rsidP="00B063EB">
      <w:pPr>
        <w:pStyle w:val="ad"/>
        <w:numPr>
          <w:ilvl w:val="0"/>
          <w:numId w:val="2"/>
        </w:numPr>
        <w:spacing w:line="360" w:lineRule="auto"/>
        <w:ind w:left="360"/>
        <w:jc w:val="both"/>
        <w:rPr>
          <w:rFonts w:ascii="Arial" w:hAnsi="Arial"/>
          <w:b/>
          <w:bCs/>
          <w:noProof w:val="0"/>
        </w:rPr>
      </w:pPr>
      <w:r>
        <w:rPr>
          <w:rFonts w:ascii="Arial" w:hAnsi="Arial"/>
          <w:noProof w:val="0"/>
          <w:rtl/>
        </w:rPr>
        <w:t xml:space="preserve">המשיבים צרפו לתצהיר את </w:t>
      </w:r>
      <w:r>
        <w:rPr>
          <w:rFonts w:ascii="Arial" w:hAnsi="Arial"/>
          <w:b/>
          <w:bCs/>
          <w:noProof w:val="0"/>
          <w:rtl/>
        </w:rPr>
        <w:t xml:space="preserve">כלל המסמכים </w:t>
      </w:r>
      <w:r>
        <w:rPr>
          <w:rFonts w:ascii="Arial" w:hAnsi="Arial"/>
          <w:noProof w:val="0"/>
          <w:rtl/>
        </w:rPr>
        <w:t xml:space="preserve">הרפואיים של המנוח </w:t>
      </w:r>
      <w:r w:rsidRPr="00BE67A3">
        <w:rPr>
          <w:rFonts w:ascii="Arial" w:hAnsi="Arial"/>
          <w:b/>
          <w:bCs/>
          <w:noProof w:val="0"/>
          <w:rtl/>
        </w:rPr>
        <w:t>מאז שנת 2009 ועד למותו של המנוח בשנת 2022.</w:t>
      </w:r>
    </w:p>
    <w:p w:rsidR="00B063EB" w:rsidRDefault="00B063EB" w:rsidP="00B063EB">
      <w:pPr>
        <w:pStyle w:val="ad"/>
        <w:numPr>
          <w:ilvl w:val="0"/>
          <w:numId w:val="2"/>
        </w:numPr>
        <w:spacing w:line="360" w:lineRule="auto"/>
        <w:ind w:left="360"/>
        <w:jc w:val="both"/>
        <w:rPr>
          <w:rFonts w:ascii="Arial" w:hAnsi="Arial"/>
          <w:noProof w:val="0"/>
          <w:rtl/>
        </w:rPr>
      </w:pPr>
      <w:r>
        <w:rPr>
          <w:rFonts w:ascii="Arial" w:hAnsi="Arial"/>
          <w:noProof w:val="0"/>
          <w:rtl/>
        </w:rPr>
        <w:t xml:space="preserve">המשיבים לא הפנו למסמכים רפואיים </w:t>
      </w:r>
      <w:r w:rsidR="00BE67A3">
        <w:rPr>
          <w:rFonts w:ascii="Arial" w:hAnsi="Arial" w:hint="cs"/>
          <w:noProof w:val="0"/>
          <w:rtl/>
        </w:rPr>
        <w:t xml:space="preserve">ספציפיים </w:t>
      </w:r>
      <w:r>
        <w:rPr>
          <w:rFonts w:ascii="Arial" w:hAnsi="Arial"/>
          <w:noProof w:val="0"/>
          <w:rtl/>
        </w:rPr>
        <w:t xml:space="preserve">בתצהירם, ואף המומחית </w:t>
      </w:r>
      <w:r>
        <w:rPr>
          <w:rFonts w:ascii="Arial" w:hAnsi="Arial"/>
          <w:b/>
          <w:bCs/>
          <w:noProof w:val="0"/>
          <w:rtl/>
        </w:rPr>
        <w:t>שממילא חוות דעתה הוצאה מחומר הראיות בתיק,</w:t>
      </w:r>
      <w:r>
        <w:rPr>
          <w:rFonts w:ascii="Arial" w:hAnsi="Arial"/>
          <w:noProof w:val="0"/>
          <w:rtl/>
        </w:rPr>
        <w:t xml:space="preserve"> </w:t>
      </w:r>
      <w:r>
        <w:rPr>
          <w:rFonts w:ascii="Arial" w:hAnsi="Arial"/>
          <w:b/>
          <w:bCs/>
          <w:noProof w:val="0"/>
          <w:rtl/>
        </w:rPr>
        <w:t>הפנתה ללא יותר מ-7 מסמכים רפואיים</w:t>
      </w:r>
      <w:r>
        <w:rPr>
          <w:rFonts w:ascii="Arial" w:hAnsi="Arial"/>
          <w:noProof w:val="0"/>
          <w:rtl/>
        </w:rPr>
        <w:t xml:space="preserve">. </w:t>
      </w:r>
    </w:p>
    <w:p w:rsidR="00B063EB" w:rsidRDefault="00B063EB" w:rsidP="008F324A">
      <w:pPr>
        <w:pStyle w:val="ad"/>
        <w:numPr>
          <w:ilvl w:val="0"/>
          <w:numId w:val="2"/>
        </w:numPr>
        <w:spacing w:line="360" w:lineRule="auto"/>
        <w:ind w:left="360"/>
        <w:jc w:val="both"/>
        <w:rPr>
          <w:rFonts w:ascii="David" w:eastAsia="Calibri" w:hAnsi="David"/>
          <w:noProof w:val="0"/>
        </w:rPr>
      </w:pPr>
      <w:r>
        <w:rPr>
          <w:rFonts w:ascii="David" w:eastAsia="Calibri" w:hAnsi="David"/>
          <w:noProof w:val="0"/>
          <w:rtl/>
        </w:rPr>
        <w:t>אני דוחה מכל וכל את טענת המשיבים כי אך מן הטעם שניתן צ</w:t>
      </w:r>
      <w:r w:rsidR="00D733FF">
        <w:rPr>
          <w:rFonts w:ascii="David" w:eastAsia="Calibri" w:hAnsi="David" w:hint="cs"/>
          <w:noProof w:val="0"/>
          <w:rtl/>
        </w:rPr>
        <w:t>ו</w:t>
      </w:r>
      <w:r>
        <w:rPr>
          <w:rFonts w:ascii="David" w:eastAsia="Calibri" w:hAnsi="David"/>
          <w:noProof w:val="0"/>
          <w:rtl/>
        </w:rPr>
        <w:t xml:space="preserve">וים לגילוי מסמכים של המנוח- הרי שיש בכך עילה כדי לצרף את כלל המסמכים שאותרו במסגרת הצווים באשר הם לתצהירים. </w:t>
      </w:r>
      <w:r>
        <w:rPr>
          <w:rFonts w:ascii="David" w:eastAsia="Calibri" w:hAnsi="David"/>
          <w:noProof w:val="0"/>
          <w:rtl/>
        </w:rPr>
        <w:lastRenderedPageBreak/>
        <w:t>בית המשפט, אפשר למשיבים, על מנת שיוכלו לקבל את יומם בדין לקבל מסמכים רפואיים של המנוח מחודש 12/09 ואילך, לצורך בחינה והוכחת מצבו הרפואי של המנוח וכשירותו לערוך את הצוואה בהתאם לכללי הדין</w:t>
      </w:r>
      <w:r w:rsidR="008F324A">
        <w:rPr>
          <w:rFonts w:ascii="David" w:eastAsia="Calibri" w:hAnsi="David" w:hint="cs"/>
          <w:noProof w:val="0"/>
          <w:rtl/>
        </w:rPr>
        <w:t xml:space="preserve"> (ובחינת הצורך בהגשת חוות דעת בהתאם לתקנות)</w:t>
      </w:r>
      <w:r>
        <w:rPr>
          <w:rFonts w:ascii="David" w:eastAsia="Calibri" w:hAnsi="David"/>
          <w:noProof w:val="0"/>
          <w:rtl/>
        </w:rPr>
        <w:t xml:space="preserve">. </w:t>
      </w:r>
      <w:r w:rsidRPr="008F324A">
        <w:rPr>
          <w:rFonts w:ascii="David" w:eastAsia="Calibri" w:hAnsi="David"/>
          <w:noProof w:val="0"/>
          <w:rtl/>
        </w:rPr>
        <w:t xml:space="preserve">אין משמעות הדבר כי יש לצרף </w:t>
      </w:r>
      <w:r w:rsidRPr="008F324A">
        <w:rPr>
          <w:rFonts w:ascii="David" w:eastAsia="Calibri" w:hAnsi="David"/>
          <w:b/>
          <w:bCs/>
          <w:noProof w:val="0"/>
          <w:rtl/>
        </w:rPr>
        <w:t>מאות עמודים של מסמכים רפואיים של המנוח</w:t>
      </w:r>
      <w:r w:rsidRPr="008F324A">
        <w:rPr>
          <w:rFonts w:ascii="David" w:eastAsia="Calibri" w:hAnsi="David"/>
          <w:noProof w:val="0"/>
          <w:rtl/>
        </w:rPr>
        <w:t xml:space="preserve"> (</w:t>
      </w:r>
      <w:r w:rsidRPr="008F324A">
        <w:rPr>
          <w:rFonts w:ascii="David" w:eastAsia="Calibri" w:hAnsi="David"/>
          <w:b/>
          <w:bCs/>
          <w:noProof w:val="0"/>
          <w:rtl/>
        </w:rPr>
        <w:t>רובם אף אינם קריאים כלל)</w:t>
      </w:r>
      <w:r w:rsidRPr="008F324A">
        <w:rPr>
          <w:rFonts w:ascii="David" w:eastAsia="Calibri" w:hAnsi="David"/>
          <w:noProof w:val="0"/>
          <w:rtl/>
        </w:rPr>
        <w:t xml:space="preserve">– ללא כל הפנייה או הבהרה באשר לרלוונטיות </w:t>
      </w:r>
      <w:r w:rsidR="008F324A">
        <w:rPr>
          <w:rFonts w:ascii="David" w:eastAsia="Calibri" w:hAnsi="David" w:hint="cs"/>
          <w:noProof w:val="0"/>
          <w:rtl/>
        </w:rPr>
        <w:t xml:space="preserve">של </w:t>
      </w:r>
      <w:r w:rsidR="008F324A" w:rsidRPr="00847BA5">
        <w:rPr>
          <w:rFonts w:ascii="David" w:eastAsia="Calibri" w:hAnsi="David" w:hint="cs"/>
          <w:b/>
          <w:bCs/>
          <w:noProof w:val="0"/>
          <w:rtl/>
        </w:rPr>
        <w:t>המסמך הספציפי</w:t>
      </w:r>
      <w:r w:rsidR="008F324A">
        <w:rPr>
          <w:rFonts w:ascii="David" w:eastAsia="Calibri" w:hAnsi="David" w:hint="cs"/>
          <w:noProof w:val="0"/>
          <w:rtl/>
        </w:rPr>
        <w:t xml:space="preserve"> ל</w:t>
      </w:r>
      <w:r w:rsidRPr="008F324A">
        <w:rPr>
          <w:rFonts w:ascii="David" w:eastAsia="Calibri" w:hAnsi="David"/>
          <w:noProof w:val="0"/>
          <w:rtl/>
        </w:rPr>
        <w:t>הליך. משמוגשים תצהירים עם נספחים- מצופה מבית המשפט שיעיין בכלל הנספחים המצורפים, ללא כחל ושרק. הגשת מאות עמודים לבית המשפט, ללא כל ציון של מידת הרלוונטיות שלהם והפניה מתאימה למסמכים הרלוונטיים, אך מן הטעם שנתנו במסגרת הליך צ</w:t>
      </w:r>
      <w:r w:rsidR="00D733FF" w:rsidRPr="008F324A">
        <w:rPr>
          <w:rFonts w:ascii="David" w:eastAsia="Calibri" w:hAnsi="David" w:hint="cs"/>
          <w:noProof w:val="0"/>
          <w:rtl/>
        </w:rPr>
        <w:t>ו</w:t>
      </w:r>
      <w:r w:rsidRPr="008F324A">
        <w:rPr>
          <w:rFonts w:ascii="David" w:eastAsia="Calibri" w:hAnsi="David"/>
          <w:noProof w:val="0"/>
          <w:rtl/>
        </w:rPr>
        <w:t xml:space="preserve">וי גילוי מסמכים- </w:t>
      </w:r>
      <w:r w:rsidRPr="008F324A">
        <w:rPr>
          <w:rFonts w:ascii="David" w:eastAsia="Calibri" w:hAnsi="David"/>
          <w:b/>
          <w:bCs/>
          <w:noProof w:val="0"/>
          <w:rtl/>
        </w:rPr>
        <w:t xml:space="preserve">משמעה השחתת זמן שיפוטי רב ויקר לריק וללא כל עילה. </w:t>
      </w:r>
    </w:p>
    <w:p w:rsidR="00B063EB" w:rsidRDefault="00847BA5" w:rsidP="00EB3C89">
      <w:pPr>
        <w:pStyle w:val="ad"/>
        <w:numPr>
          <w:ilvl w:val="0"/>
          <w:numId w:val="2"/>
        </w:numPr>
        <w:spacing w:line="360" w:lineRule="auto"/>
        <w:ind w:left="360"/>
        <w:jc w:val="both"/>
        <w:rPr>
          <w:rFonts w:ascii="David" w:eastAsia="Calibri" w:hAnsi="David"/>
          <w:noProof w:val="0"/>
        </w:rPr>
      </w:pPr>
      <w:r>
        <w:rPr>
          <w:rFonts w:ascii="David" w:eastAsia="Calibri" w:hAnsi="David" w:hint="cs"/>
          <w:noProof w:val="0"/>
          <w:rtl/>
        </w:rPr>
        <w:t>אדגיש</w:t>
      </w:r>
      <w:r w:rsidR="00EB3C89">
        <w:rPr>
          <w:rFonts w:ascii="David" w:eastAsia="Calibri" w:hAnsi="David" w:hint="cs"/>
          <w:noProof w:val="0"/>
          <w:rtl/>
        </w:rPr>
        <w:t xml:space="preserve"> ואחדד-</w:t>
      </w:r>
      <w:r>
        <w:rPr>
          <w:rFonts w:ascii="David" w:eastAsia="Calibri" w:hAnsi="David" w:hint="cs"/>
          <w:noProof w:val="0"/>
          <w:rtl/>
        </w:rPr>
        <w:t xml:space="preserve"> אין מחלוקת לעניין רלוונטיות אי אלו מהמסמכים הרפואיים שהוגשו להליך ומשכך בית המשפט אינו מורה על מחיקתם/הוצאתם מהתיק. אלא שאין מקום להעמיס על תיק בית המשפט את </w:t>
      </w:r>
      <w:r w:rsidRPr="00847BA5">
        <w:rPr>
          <w:rFonts w:ascii="David" w:eastAsia="Calibri" w:hAnsi="David" w:hint="cs"/>
          <w:b/>
          <w:bCs/>
          <w:noProof w:val="0"/>
          <w:rtl/>
        </w:rPr>
        <w:t xml:space="preserve">כלל המסמכים הרפואיים </w:t>
      </w:r>
      <w:r>
        <w:rPr>
          <w:rFonts w:ascii="David" w:eastAsia="Calibri" w:hAnsi="David" w:hint="cs"/>
          <w:b/>
          <w:bCs/>
          <w:noProof w:val="0"/>
          <w:rtl/>
        </w:rPr>
        <w:t xml:space="preserve">של המנוח </w:t>
      </w:r>
      <w:r w:rsidRPr="00847BA5">
        <w:rPr>
          <w:rFonts w:ascii="David" w:eastAsia="Calibri" w:hAnsi="David" w:hint="cs"/>
          <w:b/>
          <w:bCs/>
          <w:noProof w:val="0"/>
          <w:rtl/>
        </w:rPr>
        <w:t>באשר הם</w:t>
      </w:r>
      <w:r>
        <w:rPr>
          <w:rFonts w:ascii="David" w:eastAsia="Calibri" w:hAnsi="David" w:hint="cs"/>
          <w:noProof w:val="0"/>
          <w:rtl/>
        </w:rPr>
        <w:t>, אך מן הטעם שהם נתנו במסגרת צו גילוי מסמכים רחב שבקשו המשיבים וכל זאת אף ללא סימון והפניות כדבעי ו</w:t>
      </w:r>
      <w:r w:rsidR="00EB3C89">
        <w:rPr>
          <w:rFonts w:ascii="David" w:eastAsia="Calibri" w:hAnsi="David" w:hint="cs"/>
          <w:noProof w:val="0"/>
          <w:rtl/>
        </w:rPr>
        <w:t>כ</w:t>
      </w:r>
      <w:r>
        <w:rPr>
          <w:rFonts w:ascii="David" w:eastAsia="Calibri" w:hAnsi="David" w:hint="cs"/>
          <w:noProof w:val="0"/>
          <w:rtl/>
        </w:rPr>
        <w:t>שחלק לא מבוטל</w:t>
      </w:r>
      <w:r w:rsidR="00EB3C89">
        <w:rPr>
          <w:rFonts w:ascii="David" w:eastAsia="Calibri" w:hAnsi="David" w:hint="cs"/>
          <w:noProof w:val="0"/>
          <w:rtl/>
        </w:rPr>
        <w:t xml:space="preserve"> מהמסמכים</w:t>
      </w:r>
      <w:r>
        <w:rPr>
          <w:rFonts w:ascii="David" w:eastAsia="Calibri" w:hAnsi="David" w:hint="cs"/>
          <w:noProof w:val="0"/>
          <w:rtl/>
        </w:rPr>
        <w:t xml:space="preserve"> אף אינו קריא כלל.</w:t>
      </w:r>
      <w:r w:rsidR="00B063EB" w:rsidRPr="00D733FF">
        <w:rPr>
          <w:rFonts w:ascii="David" w:eastAsia="Calibri" w:hAnsi="David"/>
          <w:noProof w:val="0"/>
          <w:rtl/>
        </w:rPr>
        <w:t xml:space="preserve"> </w:t>
      </w:r>
    </w:p>
    <w:p w:rsidR="008F324A" w:rsidRDefault="008F324A" w:rsidP="008F324A">
      <w:pPr>
        <w:pStyle w:val="ad"/>
        <w:numPr>
          <w:ilvl w:val="0"/>
          <w:numId w:val="2"/>
        </w:numPr>
        <w:spacing w:line="360" w:lineRule="auto"/>
        <w:ind w:left="360"/>
        <w:jc w:val="both"/>
        <w:rPr>
          <w:rFonts w:ascii="David" w:eastAsia="Calibri" w:hAnsi="David"/>
          <w:noProof w:val="0"/>
          <w:sz w:val="26"/>
          <w:szCs w:val="26"/>
          <w:rtl/>
        </w:rPr>
      </w:pPr>
      <w:r>
        <w:rPr>
          <w:rFonts w:ascii="David" w:eastAsia="Calibri" w:hAnsi="David"/>
          <w:noProof w:val="0"/>
          <w:sz w:val="26"/>
          <w:szCs w:val="26"/>
          <w:rtl/>
        </w:rPr>
        <w:t>במבוא לדברי ההסבר לתקנות סדר הדין האזרחי התשע"ט–</w:t>
      </w:r>
      <w:r>
        <w:rPr>
          <w:rFonts w:ascii="David" w:eastAsia="Calibri" w:hAnsi="David"/>
          <w:b/>
          <w:bCs/>
          <w:noProof w:val="0"/>
          <w:sz w:val="26"/>
          <w:szCs w:val="26"/>
          <w:rtl/>
        </w:rPr>
        <w:t xml:space="preserve"> 2018</w:t>
      </w:r>
      <w:r>
        <w:rPr>
          <w:rFonts w:ascii="David" w:eastAsia="Calibri" w:hAnsi="David"/>
          <w:noProof w:val="0"/>
          <w:sz w:val="26"/>
          <w:szCs w:val="26"/>
          <w:rtl/>
        </w:rPr>
        <w:t xml:space="preserve"> צוין כי:</w:t>
      </w:r>
    </w:p>
    <w:p w:rsidR="008F324A" w:rsidRDefault="008F324A" w:rsidP="008F324A">
      <w:pPr>
        <w:spacing w:after="80" w:line="320" w:lineRule="exact"/>
        <w:ind w:left="1440"/>
        <w:jc w:val="both"/>
        <w:rPr>
          <w:noProof w:val="0"/>
          <w:sz w:val="22"/>
          <w:szCs w:val="22"/>
          <w:lang w:eastAsia="he-IL"/>
        </w:rPr>
      </w:pPr>
      <w:r>
        <w:rPr>
          <w:rFonts w:ascii="David" w:eastAsia="Calibri" w:hAnsi="David"/>
          <w:b/>
          <w:bCs/>
          <w:noProof w:val="0"/>
          <w:sz w:val="26"/>
          <w:szCs w:val="26"/>
          <w:rtl/>
        </w:rPr>
        <w:t>"</w:t>
      </w:r>
      <w:r>
        <w:rPr>
          <w:b/>
          <w:bCs/>
          <w:noProof w:val="0"/>
          <w:sz w:val="22"/>
          <w:szCs w:val="22"/>
          <w:rtl/>
          <w:lang w:eastAsia="he-IL"/>
        </w:rPr>
        <w:t xml:space="preserve">תכליתן של התקנות הוא, אפוא, לסייע בידי בית המשפט לנהל את המשפט תוך קיום הליך שיפוטי ראוי והוגן, שיאפשר הגעה לתוצאה נכונה וצודקת תוך יעילות מרבית. על מנת לעשות כן, מבקשות התקנות להשיג מספר מטרות: </w:t>
      </w:r>
      <w:r>
        <w:rPr>
          <w:b/>
          <w:bCs/>
          <w:noProof w:val="0"/>
          <w:sz w:val="22"/>
          <w:szCs w:val="22"/>
          <w:u w:val="single"/>
          <w:rtl/>
          <w:lang w:eastAsia="he-IL"/>
        </w:rPr>
        <w:t>ראשית, להביא לפישוט והאחדה של סדרי הדין הקיימים; שנית, לשרש חסמים הגורמים להתארכות דיונים בבתי המשפט באמצעות התמודדות עם תופעות של העדר התייחסות למועדים או שימוש מרובה בניירת מעל ומעבר לנדרש (לעיתים עד כדי מצב שמרוב טיעונים ותתי טיעונים על פני מאות עמודים</w:t>
      </w:r>
      <w:r>
        <w:rPr>
          <w:b/>
          <w:bCs/>
          <w:noProof w:val="0"/>
          <w:sz w:val="22"/>
          <w:szCs w:val="22"/>
          <w:u w:val="single"/>
          <w:lang w:eastAsia="he-IL"/>
        </w:rPr>
        <w:t xml:space="preserve">, </w:t>
      </w:r>
      <w:r>
        <w:rPr>
          <w:b/>
          <w:bCs/>
          <w:noProof w:val="0"/>
          <w:sz w:val="22"/>
          <w:szCs w:val="22"/>
          <w:u w:val="single"/>
          <w:rtl/>
          <w:lang w:eastAsia="he-IL"/>
        </w:rPr>
        <w:t>קשה לבית המשפט לאתר את השאלות האמתיות השנויות במחלוקת בין הצדדים);</w:t>
      </w:r>
      <w:r>
        <w:rPr>
          <w:b/>
          <w:bCs/>
          <w:noProof w:val="0"/>
          <w:sz w:val="22"/>
          <w:szCs w:val="22"/>
          <w:rtl/>
          <w:lang w:eastAsia="he-IL"/>
        </w:rPr>
        <w:t xml:space="preserve"> שלישית, להביא לגילוי הדדי ושקיפות מלאה בין בעלי הדין לפני הגשת התובענה ובמהלכה; רביעית, לקדם נגישות לערכאות השיפוטיות, להבטיח קיומו של הליך ראוי והוגן, </w:t>
      </w:r>
      <w:r>
        <w:rPr>
          <w:b/>
          <w:bCs/>
          <w:noProof w:val="0"/>
          <w:sz w:val="22"/>
          <w:szCs w:val="22"/>
          <w:u w:val="single"/>
          <w:rtl/>
          <w:lang w:eastAsia="he-IL"/>
        </w:rPr>
        <w:t>ובתוך כך למנוע בזבוז זמן שיפוטי יקר, זמן המהווה משאב ציבורי מובהק, ולהשריש שיקולי יעילות וצדק מהיר.</w:t>
      </w:r>
      <w:r>
        <w:rPr>
          <w:b/>
          <w:bCs/>
          <w:noProof w:val="0"/>
          <w:sz w:val="22"/>
          <w:szCs w:val="22"/>
          <w:rtl/>
          <w:lang w:eastAsia="he-IL"/>
        </w:rPr>
        <w:t xml:space="preserve"> עקרונות יסוד אלה ראוי שישמשו גם כלי פרשני בכל הנוגע ליישומם של ההסדרים הדיוניים שבתקנות אלה</w:t>
      </w:r>
      <w:r>
        <w:rPr>
          <w:noProof w:val="0"/>
          <w:sz w:val="22"/>
          <w:szCs w:val="22"/>
          <w:rtl/>
          <w:lang w:eastAsia="he-IL"/>
        </w:rPr>
        <w:t>"</w:t>
      </w:r>
      <w:r>
        <w:rPr>
          <w:noProof w:val="0"/>
          <w:sz w:val="22"/>
          <w:szCs w:val="22"/>
          <w:lang w:eastAsia="he-IL"/>
        </w:rPr>
        <w:t xml:space="preserve">. </w:t>
      </w:r>
      <w:r>
        <w:rPr>
          <w:noProof w:val="0"/>
          <w:sz w:val="22"/>
          <w:szCs w:val="22"/>
          <w:rtl/>
          <w:lang w:eastAsia="he-IL"/>
        </w:rPr>
        <w:t>(ההדגשות שלי).</w:t>
      </w:r>
    </w:p>
    <w:p w:rsidR="008F324A" w:rsidRPr="00D733FF" w:rsidRDefault="008F324A" w:rsidP="00EB3C89">
      <w:pPr>
        <w:pStyle w:val="ad"/>
        <w:spacing w:line="360" w:lineRule="auto"/>
        <w:ind w:left="360"/>
        <w:jc w:val="both"/>
        <w:rPr>
          <w:rFonts w:ascii="David" w:eastAsia="Calibri" w:hAnsi="David"/>
          <w:noProof w:val="0"/>
          <w:rtl/>
        </w:rPr>
      </w:pPr>
      <w:r>
        <w:rPr>
          <w:rFonts w:ascii="David" w:eastAsia="Calibri" w:hAnsi="David" w:hint="cs"/>
          <w:noProof w:val="0"/>
          <w:rtl/>
        </w:rPr>
        <w:t xml:space="preserve">ראה לעניין זה גם האמור בת"א (מחוזי מרכז) 37374-09-18 </w:t>
      </w:r>
      <w:r>
        <w:rPr>
          <w:rFonts w:ascii="David" w:eastAsia="Calibri" w:hAnsi="David" w:hint="cs"/>
          <w:b/>
          <w:bCs/>
          <w:noProof w:val="0"/>
          <w:rtl/>
        </w:rPr>
        <w:t xml:space="preserve">אליל 2000 שיווק וניהול בע"מ נ' די בי אס שירותי לווים (1998) בע"מ </w:t>
      </w:r>
      <w:r>
        <w:rPr>
          <w:rFonts w:ascii="David" w:eastAsia="Calibri" w:hAnsi="David" w:hint="cs"/>
          <w:noProof w:val="0"/>
          <w:rtl/>
        </w:rPr>
        <w:t>(ניתן ביום 16.1.24)</w:t>
      </w:r>
      <w:r w:rsidR="00EB3C89">
        <w:rPr>
          <w:rFonts w:ascii="David" w:eastAsia="Calibri" w:hAnsi="David" w:hint="cs"/>
          <w:noProof w:val="0"/>
          <w:rtl/>
        </w:rPr>
        <w:t>.</w:t>
      </w:r>
    </w:p>
    <w:p w:rsidR="00B063EB" w:rsidRDefault="00B063EB" w:rsidP="00EB3C89">
      <w:pPr>
        <w:pStyle w:val="ad"/>
        <w:numPr>
          <w:ilvl w:val="0"/>
          <w:numId w:val="2"/>
        </w:numPr>
        <w:spacing w:line="360" w:lineRule="auto"/>
        <w:ind w:left="360"/>
        <w:jc w:val="both"/>
        <w:rPr>
          <w:rFonts w:ascii="David" w:eastAsia="Calibri" w:hAnsi="David"/>
          <w:noProof w:val="0"/>
        </w:rPr>
      </w:pPr>
      <w:r>
        <w:rPr>
          <w:rFonts w:ascii="David" w:eastAsia="Calibri" w:hAnsi="David"/>
          <w:noProof w:val="0"/>
          <w:rtl/>
        </w:rPr>
        <w:t xml:space="preserve">משכך, </w:t>
      </w:r>
      <w:r w:rsidR="00EB3C89">
        <w:rPr>
          <w:rFonts w:ascii="David" w:eastAsia="Calibri" w:hAnsi="David" w:hint="cs"/>
          <w:noProof w:val="0"/>
          <w:rtl/>
        </w:rPr>
        <w:t>הרי שעל המשיבים לצרף</w:t>
      </w:r>
      <w:r w:rsidR="00D733FF">
        <w:rPr>
          <w:rFonts w:ascii="David" w:eastAsia="Calibri" w:hAnsi="David" w:hint="cs"/>
          <w:noProof w:val="0"/>
          <w:rtl/>
        </w:rPr>
        <w:t xml:space="preserve"> לתצהירים</w:t>
      </w:r>
      <w:r>
        <w:rPr>
          <w:rFonts w:ascii="David" w:eastAsia="Calibri" w:hAnsi="David"/>
          <w:noProof w:val="0"/>
          <w:rtl/>
        </w:rPr>
        <w:t xml:space="preserve"> </w:t>
      </w:r>
      <w:r w:rsidR="00EB3C89">
        <w:rPr>
          <w:rFonts w:ascii="David" w:eastAsia="Calibri" w:hAnsi="David" w:hint="cs"/>
          <w:noProof w:val="0"/>
          <w:rtl/>
        </w:rPr>
        <w:t xml:space="preserve">מטעמם </w:t>
      </w:r>
      <w:r>
        <w:rPr>
          <w:rFonts w:ascii="David" w:eastAsia="Calibri" w:hAnsi="David"/>
          <w:noProof w:val="0"/>
          <w:rtl/>
        </w:rPr>
        <w:t xml:space="preserve">רק את החומר הרפואי הרלוונטי להוכחת טענותיהם, כשהוא קריא ומסומן כדבעי. </w:t>
      </w:r>
    </w:p>
    <w:p w:rsidR="00EB3C89" w:rsidRDefault="00EB3C89">
      <w:pPr>
        <w:bidi w:val="0"/>
        <w:rPr>
          <w:rFonts w:ascii="David" w:eastAsia="Calibri" w:hAnsi="David"/>
          <w:noProof w:val="0"/>
          <w:rtl/>
        </w:rPr>
      </w:pPr>
      <w:r>
        <w:rPr>
          <w:rFonts w:ascii="David" w:eastAsia="Calibri" w:hAnsi="David"/>
          <w:noProof w:val="0"/>
          <w:rtl/>
        </w:rPr>
        <w:br w:type="page"/>
      </w:r>
    </w:p>
    <w:p w:rsidR="00B063EB" w:rsidRPr="00EB3C89" w:rsidRDefault="00B063EB" w:rsidP="00EB3C89">
      <w:pPr>
        <w:pStyle w:val="ad"/>
        <w:numPr>
          <w:ilvl w:val="0"/>
          <w:numId w:val="5"/>
        </w:numPr>
        <w:spacing w:line="360" w:lineRule="auto"/>
        <w:jc w:val="both"/>
        <w:rPr>
          <w:rFonts w:ascii="Arial" w:hAnsi="Arial"/>
          <w:b/>
          <w:bCs/>
          <w:noProof w:val="0"/>
          <w:rtl/>
        </w:rPr>
      </w:pPr>
      <w:r w:rsidRPr="00EB3C89">
        <w:rPr>
          <w:rFonts w:ascii="Arial" w:hAnsi="Arial"/>
          <w:b/>
          <w:bCs/>
          <w:noProof w:val="0"/>
          <w:rtl/>
        </w:rPr>
        <w:lastRenderedPageBreak/>
        <w:t xml:space="preserve">לסיכום פרק זה- </w:t>
      </w:r>
    </w:p>
    <w:p w:rsidR="00B063EB" w:rsidRDefault="00B063EB" w:rsidP="00B063EB">
      <w:pPr>
        <w:pStyle w:val="ad"/>
        <w:numPr>
          <w:ilvl w:val="0"/>
          <w:numId w:val="2"/>
        </w:numPr>
        <w:spacing w:line="360" w:lineRule="auto"/>
        <w:ind w:left="360"/>
        <w:jc w:val="both"/>
        <w:rPr>
          <w:rFonts w:ascii="Arial" w:hAnsi="Arial"/>
          <w:noProof w:val="0"/>
        </w:rPr>
      </w:pPr>
      <w:r>
        <w:rPr>
          <w:rFonts w:ascii="Arial" w:hAnsi="Arial"/>
          <w:noProof w:val="0"/>
          <w:rtl/>
        </w:rPr>
        <w:t xml:space="preserve">המשיבים יגישו מחדש את תצהירי העדות הראשית מטעמם – ללא חוות הדעת המסומנת נספח ט"ו, ללא </w:t>
      </w:r>
      <w:r w:rsidR="00264867">
        <w:rPr>
          <w:rFonts w:ascii="Arial" w:hAnsi="Arial"/>
          <w:noProof w:val="0"/>
          <w:rtl/>
        </w:rPr>
        <w:t>תיק הגירושין של המנוח מהגב' א</w:t>
      </w:r>
      <w:r w:rsidR="00264867">
        <w:rPr>
          <w:rFonts w:ascii="Arial" w:hAnsi="Arial" w:hint="cs"/>
          <w:noProof w:val="0"/>
          <w:rtl/>
        </w:rPr>
        <w:t>'</w:t>
      </w:r>
      <w:r>
        <w:rPr>
          <w:rFonts w:ascii="Arial" w:hAnsi="Arial"/>
          <w:noProof w:val="0"/>
          <w:rtl/>
        </w:rPr>
        <w:t xml:space="preserve"> המסומן נספח י' ובצירוף חומר רפואי רלוונטי בלבד כשהוא קריא ומסומן</w:t>
      </w:r>
      <w:r w:rsidR="00EB3C89">
        <w:rPr>
          <w:rFonts w:ascii="Arial" w:hAnsi="Arial" w:hint="cs"/>
          <w:noProof w:val="0"/>
          <w:rtl/>
        </w:rPr>
        <w:t xml:space="preserve"> כדבעי</w:t>
      </w:r>
      <w:r>
        <w:rPr>
          <w:rFonts w:ascii="Arial" w:hAnsi="Arial"/>
          <w:noProof w:val="0"/>
          <w:rtl/>
        </w:rPr>
        <w:t xml:space="preserve">. </w:t>
      </w:r>
    </w:p>
    <w:p w:rsidR="00B063EB" w:rsidRDefault="00B063EB" w:rsidP="00B063EB">
      <w:pPr>
        <w:pStyle w:val="ad"/>
        <w:numPr>
          <w:ilvl w:val="0"/>
          <w:numId w:val="2"/>
        </w:numPr>
        <w:spacing w:line="360" w:lineRule="auto"/>
        <w:ind w:left="360"/>
        <w:jc w:val="both"/>
        <w:rPr>
          <w:rFonts w:ascii="Arial" w:hAnsi="Arial"/>
          <w:noProof w:val="0"/>
          <w:rtl/>
        </w:rPr>
      </w:pPr>
      <w:r>
        <w:rPr>
          <w:rtl/>
        </w:rPr>
        <w:t xml:space="preserve">התצהיר בצירוף המוצגים של המשיבים יוגשו בעותק מודפס ומדוגל </w:t>
      </w:r>
      <w:r>
        <w:rPr>
          <w:sz w:val="20"/>
          <w:rtl/>
          <w:lang w:eastAsia="he-IL"/>
        </w:rPr>
        <w:t xml:space="preserve">(בנוסף לתצהיר אשר יימסר לסריקה בהתאם למועדים הקבועים) וזאת תוך 10 ימים. </w:t>
      </w:r>
    </w:p>
    <w:p w:rsidR="006E325D" w:rsidRDefault="006E325D" w:rsidP="006E325D">
      <w:pPr>
        <w:pStyle w:val="ad"/>
        <w:spacing w:line="360" w:lineRule="auto"/>
        <w:jc w:val="both"/>
        <w:rPr>
          <w:rFonts w:ascii="Arial" w:hAnsi="Arial"/>
          <w:b/>
          <w:bCs/>
          <w:noProof w:val="0"/>
          <w:u w:val="single"/>
        </w:rPr>
      </w:pPr>
    </w:p>
    <w:p w:rsidR="00B063EB" w:rsidRDefault="00B063EB" w:rsidP="00522ABB">
      <w:pPr>
        <w:pStyle w:val="ad"/>
        <w:numPr>
          <w:ilvl w:val="0"/>
          <w:numId w:val="1"/>
        </w:numPr>
        <w:spacing w:line="360" w:lineRule="auto"/>
        <w:jc w:val="both"/>
        <w:rPr>
          <w:rFonts w:ascii="Arial" w:hAnsi="Arial"/>
          <w:b/>
          <w:bCs/>
          <w:noProof w:val="0"/>
          <w:u w:val="single"/>
          <w:rtl/>
        </w:rPr>
      </w:pPr>
      <w:r>
        <w:rPr>
          <w:rFonts w:ascii="Arial" w:hAnsi="Arial"/>
          <w:b/>
          <w:bCs/>
          <w:noProof w:val="0"/>
          <w:u w:val="single"/>
          <w:rtl/>
        </w:rPr>
        <w:t xml:space="preserve">הבקשה לזימון עדים- </w:t>
      </w:r>
    </w:p>
    <w:p w:rsidR="00B063EB" w:rsidRDefault="00B063EB" w:rsidP="00B063EB">
      <w:pPr>
        <w:pStyle w:val="ad"/>
        <w:numPr>
          <w:ilvl w:val="0"/>
          <w:numId w:val="2"/>
        </w:numPr>
        <w:spacing w:line="360" w:lineRule="auto"/>
        <w:ind w:left="360"/>
        <w:jc w:val="both"/>
        <w:rPr>
          <w:rFonts w:ascii="Arial" w:hAnsi="Arial"/>
          <w:noProof w:val="0"/>
          <w:rtl/>
        </w:rPr>
      </w:pPr>
      <w:r>
        <w:rPr>
          <w:rFonts w:ascii="Arial" w:hAnsi="Arial"/>
          <w:b/>
          <w:bCs/>
          <w:noProof w:val="0"/>
          <w:rtl/>
        </w:rPr>
        <w:t xml:space="preserve">לטענת המבקשת, </w:t>
      </w:r>
      <w:r>
        <w:rPr>
          <w:rFonts w:ascii="Arial" w:hAnsi="Arial"/>
          <w:noProof w:val="0"/>
          <w:rtl/>
        </w:rPr>
        <w:t xml:space="preserve">אין לזמן את המומחית לעדות מאחר ויש להוציא את חוות הדעת שלה מהתיק. כן נטען כי ממילא חוות דעת המומחית אינה חוות דעת כי אם ציטוט של תצהירי המתנגדים. </w:t>
      </w:r>
    </w:p>
    <w:p w:rsidR="00B063EB" w:rsidRDefault="00B063EB" w:rsidP="00264867">
      <w:pPr>
        <w:pStyle w:val="ad"/>
        <w:spacing w:line="360" w:lineRule="auto"/>
        <w:ind w:left="360"/>
        <w:jc w:val="both"/>
        <w:rPr>
          <w:rFonts w:ascii="Arial" w:hAnsi="Arial"/>
          <w:noProof w:val="0"/>
        </w:rPr>
      </w:pPr>
      <w:r>
        <w:rPr>
          <w:rFonts w:ascii="Arial" w:hAnsi="Arial"/>
          <w:noProof w:val="0"/>
          <w:rtl/>
        </w:rPr>
        <w:t>לגבי העדים ש</w:t>
      </w:r>
      <w:r w:rsidR="00264867">
        <w:rPr>
          <w:rFonts w:ascii="Arial" w:hAnsi="Arial" w:hint="cs"/>
          <w:noProof w:val="0"/>
          <w:rtl/>
        </w:rPr>
        <w:t>'.ק</w:t>
      </w:r>
      <w:r w:rsidR="00264867">
        <w:rPr>
          <w:rFonts w:ascii="Arial" w:hAnsi="Arial"/>
          <w:noProof w:val="0"/>
          <w:rtl/>
        </w:rPr>
        <w:t xml:space="preserve"> וש</w:t>
      </w:r>
      <w:r w:rsidR="00264867">
        <w:rPr>
          <w:rFonts w:ascii="Arial" w:hAnsi="Arial" w:hint="cs"/>
          <w:noProof w:val="0"/>
          <w:rtl/>
        </w:rPr>
        <w:t>'.ו</w:t>
      </w:r>
      <w:r>
        <w:rPr>
          <w:rFonts w:ascii="Arial" w:hAnsi="Arial"/>
          <w:noProof w:val="0"/>
          <w:rtl/>
        </w:rPr>
        <w:t xml:space="preserve"> – נטען כי עדויות אלו לא רלוונטיות והעדים אף אינם מומחים ואינם יכולים להעיד על התמכרות המנוח לאלכוהול. עם זאת, הושאר הזימון לשיקול דעת בית המשפט, בכפוף לכך שיוגשו תצהירים מטעם העדים הנ"ל.</w:t>
      </w:r>
    </w:p>
    <w:p w:rsidR="00B063EB" w:rsidRDefault="00B063EB" w:rsidP="00B063EB">
      <w:pPr>
        <w:pStyle w:val="ad"/>
        <w:numPr>
          <w:ilvl w:val="0"/>
          <w:numId w:val="2"/>
        </w:numPr>
        <w:spacing w:line="360" w:lineRule="auto"/>
        <w:ind w:left="360"/>
        <w:jc w:val="both"/>
        <w:rPr>
          <w:rFonts w:ascii="Arial" w:hAnsi="Arial"/>
          <w:noProof w:val="0"/>
        </w:rPr>
      </w:pPr>
      <w:r>
        <w:rPr>
          <w:rFonts w:ascii="Arial" w:hAnsi="Arial"/>
          <w:b/>
          <w:bCs/>
          <w:noProof w:val="0"/>
          <w:rtl/>
        </w:rPr>
        <w:t xml:space="preserve">לטענת המשיבים, </w:t>
      </w:r>
      <w:r>
        <w:rPr>
          <w:rFonts w:ascii="Arial" w:hAnsi="Arial"/>
          <w:noProof w:val="0"/>
          <w:rtl/>
        </w:rPr>
        <w:t xml:space="preserve">העדים רלוונטיים ואינם יכולים להגיש תצהיר מטעמם ומשכך התבקש לזמנם באמצעות בית המשפט. נטען כי העדים רלוונטיים ודרושים להכרעה. </w:t>
      </w:r>
    </w:p>
    <w:p w:rsidR="00522ABB" w:rsidRDefault="00522ABB" w:rsidP="00B063EB">
      <w:pPr>
        <w:spacing w:line="360" w:lineRule="auto"/>
        <w:jc w:val="both"/>
        <w:rPr>
          <w:rFonts w:ascii="Arial" w:hAnsi="Arial"/>
          <w:b/>
          <w:bCs/>
          <w:noProof w:val="0"/>
          <w:rtl/>
        </w:rPr>
      </w:pPr>
    </w:p>
    <w:p w:rsidR="00B063EB" w:rsidRDefault="00B063EB" w:rsidP="00B063EB">
      <w:pPr>
        <w:spacing w:line="360" w:lineRule="auto"/>
        <w:jc w:val="both"/>
        <w:rPr>
          <w:rFonts w:ascii="Arial" w:hAnsi="Arial"/>
          <w:b/>
          <w:bCs/>
          <w:noProof w:val="0"/>
        </w:rPr>
      </w:pPr>
      <w:r>
        <w:rPr>
          <w:rFonts w:ascii="Arial" w:hAnsi="Arial"/>
          <w:b/>
          <w:bCs/>
          <w:noProof w:val="0"/>
          <w:rtl/>
        </w:rPr>
        <w:t>דיון:</w:t>
      </w:r>
    </w:p>
    <w:p w:rsidR="00B063EB" w:rsidRDefault="00B063EB" w:rsidP="00B063EB">
      <w:pPr>
        <w:pStyle w:val="ad"/>
        <w:numPr>
          <w:ilvl w:val="0"/>
          <w:numId w:val="2"/>
        </w:numPr>
        <w:spacing w:line="360" w:lineRule="auto"/>
        <w:ind w:left="360"/>
        <w:jc w:val="both"/>
        <w:rPr>
          <w:rFonts w:ascii="David" w:hAnsi="David"/>
          <w:rtl/>
        </w:rPr>
      </w:pPr>
      <w:r>
        <w:rPr>
          <w:rFonts w:ascii="David" w:hAnsi="David"/>
          <w:b/>
          <w:bCs/>
          <w:rtl/>
        </w:rPr>
        <w:t>ביחס לעדות המומחית</w:t>
      </w:r>
      <w:r>
        <w:rPr>
          <w:rFonts w:ascii="David" w:hAnsi="David"/>
          <w:rtl/>
        </w:rPr>
        <w:t xml:space="preserve">- משהוצאה חוות הדעת מהתיק, אף אין מקום לזמן המומחית לעדות בעניין זה ואני דוחה בקשת זימונה לעדות. </w:t>
      </w:r>
    </w:p>
    <w:p w:rsidR="00B063EB" w:rsidRDefault="00B063EB" w:rsidP="00B063EB">
      <w:pPr>
        <w:pStyle w:val="ad"/>
        <w:numPr>
          <w:ilvl w:val="0"/>
          <w:numId w:val="2"/>
        </w:numPr>
        <w:spacing w:line="360" w:lineRule="auto"/>
        <w:ind w:left="360"/>
        <w:jc w:val="both"/>
        <w:rPr>
          <w:rFonts w:ascii="David" w:hAnsi="David"/>
        </w:rPr>
      </w:pPr>
      <w:r>
        <w:rPr>
          <w:rFonts w:ascii="David" w:hAnsi="David"/>
          <w:b/>
          <w:bCs/>
          <w:rtl/>
        </w:rPr>
        <w:t xml:space="preserve">באשר לעדים האחרים שביקשו המשיבים לזמן- </w:t>
      </w:r>
      <w:r w:rsidR="00706940">
        <w:rPr>
          <w:rFonts w:ascii="David" w:hAnsi="David"/>
          <w:rtl/>
        </w:rPr>
        <w:t>לאור ההלכה המפורטת לעיל</w:t>
      </w:r>
      <w:r w:rsidR="00706940">
        <w:rPr>
          <w:rFonts w:ascii="David" w:hAnsi="David" w:hint="cs"/>
          <w:rtl/>
        </w:rPr>
        <w:t xml:space="preserve"> בנוגע לזימון עדים, </w:t>
      </w:r>
      <w:r>
        <w:rPr>
          <w:rFonts w:ascii="David" w:hAnsi="David"/>
          <w:rtl/>
        </w:rPr>
        <w:t xml:space="preserve">ראיתי להיעתר לבקשה לזימון העדים מטעם המשיבים בכפוף להפקדת ערבון סך של 750 ₪ להבטחת הוצאות </w:t>
      </w:r>
      <w:r>
        <w:rPr>
          <w:rFonts w:ascii="David" w:hAnsi="David"/>
          <w:b/>
          <w:bCs/>
          <w:rtl/>
        </w:rPr>
        <w:t>כל אחד</w:t>
      </w:r>
      <w:r>
        <w:rPr>
          <w:rFonts w:ascii="David" w:hAnsi="David"/>
          <w:rtl/>
        </w:rPr>
        <w:t xml:space="preserve"> מהעדים הנ"ל.</w:t>
      </w:r>
    </w:p>
    <w:p w:rsidR="00B063EB" w:rsidRDefault="00B063EB" w:rsidP="00B063EB">
      <w:pPr>
        <w:pStyle w:val="ad"/>
        <w:numPr>
          <w:ilvl w:val="0"/>
          <w:numId w:val="2"/>
        </w:numPr>
        <w:spacing w:line="360" w:lineRule="auto"/>
        <w:ind w:left="360"/>
        <w:jc w:val="both"/>
        <w:rPr>
          <w:rFonts w:ascii="David" w:hAnsi="David"/>
        </w:rPr>
      </w:pPr>
      <w:r>
        <w:rPr>
          <w:rFonts w:ascii="David" w:hAnsi="David"/>
          <w:rtl/>
        </w:rPr>
        <w:t xml:space="preserve">כמו כן- אציין כבר עתה כי על חקירת העדים הנ"ל להיות ממוקדת ורלוונטית להליכים שבמחלוקת, שאם לא כן- יש והיא תופסק/תקוצר. ככל שבית המשפט יתרשם כי חקירת מי מהעדים היתה מיותרת, האריכה או סרבלה את ההליך שלא לצורך – יבוא הדבר בחשבון בעת פסיקת ההוצאות. </w:t>
      </w:r>
    </w:p>
    <w:p w:rsidR="00B063EB" w:rsidRDefault="00B063EB" w:rsidP="00B063EB">
      <w:pPr>
        <w:pStyle w:val="ad"/>
        <w:numPr>
          <w:ilvl w:val="0"/>
          <w:numId w:val="2"/>
        </w:numPr>
        <w:spacing w:line="360" w:lineRule="auto"/>
        <w:ind w:left="360"/>
        <w:jc w:val="both"/>
        <w:rPr>
          <w:rFonts w:ascii="David" w:hAnsi="David"/>
          <w:rtl/>
        </w:rPr>
      </w:pPr>
      <w:r>
        <w:rPr>
          <w:rFonts w:ascii="David" w:hAnsi="David"/>
          <w:rtl/>
        </w:rPr>
        <w:t>לאחר הפקדת הערבון ובכפוף לכך, תנפיק המזכירות</w:t>
      </w:r>
      <w:r>
        <w:rPr>
          <w:rFonts w:ascii="David" w:hAnsi="David"/>
        </w:rPr>
        <w:t xml:space="preserve"> </w:t>
      </w:r>
      <w:r>
        <w:rPr>
          <w:rFonts w:ascii="David" w:hAnsi="David"/>
          <w:rtl/>
        </w:rPr>
        <w:t xml:space="preserve">הזימונים והזימון יבוצע באמצעות ב"כ המבקש. </w:t>
      </w:r>
    </w:p>
    <w:p w:rsidR="00706940" w:rsidRDefault="00706940">
      <w:pPr>
        <w:bidi w:val="0"/>
        <w:rPr>
          <w:rFonts w:ascii="Arial" w:hAnsi="Arial"/>
          <w:b/>
          <w:bCs/>
          <w:noProof w:val="0"/>
          <w:u w:val="single"/>
          <w:rtl/>
        </w:rPr>
      </w:pPr>
      <w:r>
        <w:rPr>
          <w:rFonts w:ascii="Arial" w:hAnsi="Arial"/>
          <w:b/>
          <w:bCs/>
          <w:noProof w:val="0"/>
          <w:u w:val="single"/>
          <w:rtl/>
        </w:rPr>
        <w:br w:type="page"/>
      </w:r>
    </w:p>
    <w:p w:rsidR="00B063EB" w:rsidRDefault="00B063EB" w:rsidP="00522ABB">
      <w:pPr>
        <w:pStyle w:val="ad"/>
        <w:numPr>
          <w:ilvl w:val="0"/>
          <w:numId w:val="1"/>
        </w:numPr>
        <w:spacing w:line="360" w:lineRule="auto"/>
        <w:jc w:val="both"/>
        <w:rPr>
          <w:rFonts w:ascii="Arial" w:hAnsi="Arial"/>
          <w:b/>
          <w:bCs/>
          <w:noProof w:val="0"/>
          <w:u w:val="single"/>
          <w:rtl/>
        </w:rPr>
      </w:pPr>
      <w:r>
        <w:rPr>
          <w:rFonts w:ascii="Arial" w:hAnsi="Arial"/>
          <w:b/>
          <w:bCs/>
          <w:noProof w:val="0"/>
          <w:u w:val="single"/>
          <w:rtl/>
        </w:rPr>
        <w:lastRenderedPageBreak/>
        <w:t>הוצאות משפט:</w:t>
      </w:r>
    </w:p>
    <w:p w:rsidR="00B063EB" w:rsidRPr="00F86914" w:rsidRDefault="00B063EB" w:rsidP="00F86914">
      <w:pPr>
        <w:pStyle w:val="ad"/>
        <w:numPr>
          <w:ilvl w:val="0"/>
          <w:numId w:val="2"/>
        </w:numPr>
        <w:spacing w:line="360" w:lineRule="auto"/>
        <w:ind w:left="360"/>
        <w:jc w:val="both"/>
        <w:rPr>
          <w:b/>
          <w:bCs/>
          <w:noProof w:val="0"/>
          <w:sz w:val="22"/>
          <w:szCs w:val="22"/>
          <w:rtl/>
          <w:lang w:eastAsia="he-IL"/>
        </w:rPr>
      </w:pPr>
      <w:r w:rsidRPr="00F86914">
        <w:rPr>
          <w:rFonts w:ascii="David" w:hAnsi="David"/>
          <w:rtl/>
        </w:rPr>
        <w:t xml:space="preserve">בתקנה 53 לתקנות סד"א </w:t>
      </w:r>
      <w:r w:rsidRPr="00F86914">
        <w:rPr>
          <w:rFonts w:ascii="David" w:eastAsia="Calibri" w:hAnsi="David"/>
          <w:noProof w:val="0"/>
          <w:rtl/>
        </w:rPr>
        <w:t xml:space="preserve">נקבע: </w:t>
      </w:r>
      <w:r w:rsidRPr="00F86914">
        <w:rPr>
          <w:b/>
          <w:bCs/>
          <w:noProof w:val="0"/>
          <w:sz w:val="22"/>
          <w:szCs w:val="22"/>
          <w:rtl/>
          <w:lang w:eastAsia="he-IL"/>
        </w:rPr>
        <w:t>״בתום הדיון בכל בקשה יפסוק בית המשפט את הוצאות הבקשה ועל מי הן חלות, בלא קשר לתוצאות ההליך העיקרי, זולת אם מצא שקיימים טעמים מיוחדים שלא לחייב בהוצאות כאמור״.</w:t>
      </w:r>
    </w:p>
    <w:p w:rsidR="00B063EB" w:rsidRPr="00F86914" w:rsidRDefault="00D067B5" w:rsidP="00F86914">
      <w:pPr>
        <w:pStyle w:val="ad"/>
        <w:numPr>
          <w:ilvl w:val="0"/>
          <w:numId w:val="2"/>
        </w:numPr>
        <w:spacing w:line="360" w:lineRule="auto"/>
        <w:ind w:left="360"/>
        <w:jc w:val="both"/>
        <w:rPr>
          <w:rFonts w:ascii="David" w:hAnsi="David"/>
        </w:rPr>
      </w:pPr>
      <w:hyperlink r:id="rId18" w:history="1">
        <w:r w:rsidR="00B063EB" w:rsidRPr="00F86914">
          <w:rPr>
            <w:rtl/>
          </w:rPr>
          <w:t>בתקנה</w:t>
        </w:r>
        <w:r w:rsidR="00F86914">
          <w:rPr>
            <w:rFonts w:hint="cs"/>
            <w:rtl/>
          </w:rPr>
          <w:t xml:space="preserve"> 156</w:t>
        </w:r>
      </w:hyperlink>
      <w:r w:rsidR="00B063EB">
        <w:rPr>
          <w:rFonts w:ascii="David" w:hAnsi="David"/>
          <w:rtl/>
        </w:rPr>
        <w:t xml:space="preserve"> </w:t>
      </w:r>
      <w:r w:rsidR="00B967EA">
        <w:rPr>
          <w:rFonts w:ascii="David" w:hAnsi="David" w:hint="cs"/>
          <w:rtl/>
        </w:rPr>
        <w:t>לתקנות  סד"א נ</w:t>
      </w:r>
      <w:r w:rsidR="00B063EB">
        <w:rPr>
          <w:rFonts w:ascii="David" w:hAnsi="David" w:hint="cs"/>
          <w:rtl/>
        </w:rPr>
        <w:t>ק</w:t>
      </w:r>
      <w:r w:rsidR="00B967EA">
        <w:rPr>
          <w:rFonts w:ascii="David" w:hAnsi="David" w:hint="cs"/>
          <w:rtl/>
        </w:rPr>
        <w:t>ב</w:t>
      </w:r>
      <w:r w:rsidR="00B063EB">
        <w:rPr>
          <w:rFonts w:ascii="David" w:hAnsi="David" w:hint="cs"/>
          <w:rtl/>
        </w:rPr>
        <w:t>ע:</w:t>
      </w:r>
      <w:r w:rsidR="00F86914">
        <w:rPr>
          <w:rFonts w:ascii="David" w:hAnsi="David" w:hint="cs"/>
          <w:rtl/>
        </w:rPr>
        <w:t xml:space="preserve"> </w:t>
      </w:r>
      <w:r w:rsidR="00B063EB" w:rsidRPr="00F86914">
        <w:rPr>
          <w:b/>
          <w:bCs/>
          <w:noProof w:val="0"/>
          <w:sz w:val="22"/>
          <w:szCs w:val="22"/>
          <w:rtl/>
          <w:lang w:eastAsia="he-IL"/>
        </w:rPr>
        <w:t>״סבר בית המשפט כי בעל דין האריך את הדיון בכל הליך שלא לצורך, באמצעות טענות סרק או בכל דרך אחרת, רשאי הוא, באותו הליך או בפסק הדין, ובלא קשר עם תוצאות המשפט, להטיל עליו את הוצאות ההליך בשיעור שימצא לנכון בנסיבות העניין, לטובת בעל הדין שכנגד או לטובת אוצר המדינה״.</w:t>
      </w:r>
    </w:p>
    <w:p w:rsidR="00B063EB" w:rsidRDefault="00B063EB" w:rsidP="00B063EB">
      <w:pPr>
        <w:pStyle w:val="ad"/>
        <w:numPr>
          <w:ilvl w:val="0"/>
          <w:numId w:val="2"/>
        </w:numPr>
        <w:spacing w:line="360" w:lineRule="auto"/>
        <w:ind w:left="360"/>
        <w:jc w:val="both"/>
        <w:rPr>
          <w:rFonts w:ascii="David" w:hAnsi="David"/>
        </w:rPr>
      </w:pPr>
      <w:r>
        <w:rPr>
          <w:rFonts w:ascii="David" w:hAnsi="David"/>
          <w:rtl/>
        </w:rPr>
        <w:t>ובדברי ההסבר לתקנות סד"א נכתב כי:</w:t>
      </w:r>
    </w:p>
    <w:p w:rsidR="00B063EB" w:rsidRDefault="00B063EB" w:rsidP="0016389D">
      <w:pPr>
        <w:spacing w:after="80" w:line="320" w:lineRule="exact"/>
        <w:ind w:left="1440"/>
        <w:jc w:val="both"/>
        <w:rPr>
          <w:b/>
          <w:bCs/>
          <w:noProof w:val="0"/>
          <w:sz w:val="22"/>
          <w:szCs w:val="22"/>
          <w:rtl/>
          <w:lang w:eastAsia="he-IL"/>
        </w:rPr>
      </w:pPr>
      <w:r>
        <w:rPr>
          <w:b/>
          <w:bCs/>
          <w:noProof w:val="0"/>
          <w:sz w:val="22"/>
          <w:szCs w:val="22"/>
          <w:rtl/>
          <w:lang w:eastAsia="he-IL"/>
        </w:rPr>
        <w:t>"על מנת להבטיח שימוש מושכל בהגשת בקשות, נקבע בתקנה 53 כי מיד בתום כל דיון בבקשה יחליט בית המשפט אם לחייב ואת מי מבעלי הדין בהוצאות הבקשה, זאת במנותק מתוצאת ההליך העיקרי, אלא אם כן מצא שקיימים טעמים מיוחדים שלא לחייב בהוצאות כאמור. תקנה זו נועדה לשנות את הנוהג הקיים שלפיו בחלק גדול מהמקרים בקשות מוכרעות בלי שבית המשפט פסק הוצאות בגינן, דבר שמסב נזק למי שבקשתו מוצדקת ואף אינו מהווה חסם בפני הגשת בקשות סרק באופן שפוגע במשאב השיפוטי המוגבל ממילא."</w:t>
      </w:r>
      <w:r>
        <w:rPr>
          <w:rFonts w:hint="cs"/>
          <w:b/>
          <w:bCs/>
          <w:noProof w:val="0"/>
          <w:sz w:val="22"/>
          <w:szCs w:val="22"/>
          <w:lang w:eastAsia="he-IL"/>
        </w:rPr>
        <w:t xml:space="preserve"> </w:t>
      </w:r>
    </w:p>
    <w:p w:rsidR="004356B4" w:rsidRPr="00F86914" w:rsidRDefault="005E1204" w:rsidP="005E1204">
      <w:pPr>
        <w:pStyle w:val="ad"/>
        <w:numPr>
          <w:ilvl w:val="0"/>
          <w:numId w:val="2"/>
        </w:numPr>
        <w:spacing w:line="360" w:lineRule="auto"/>
        <w:ind w:left="360"/>
        <w:jc w:val="both"/>
        <w:rPr>
          <w:rFonts w:ascii="David" w:hAnsi="David"/>
        </w:rPr>
      </w:pPr>
      <w:r>
        <w:rPr>
          <w:rFonts w:ascii="David" w:hAnsi="David" w:hint="cs"/>
          <w:rtl/>
        </w:rPr>
        <w:t>להשלמת התמונה-</w:t>
      </w:r>
      <w:r w:rsidR="004356B4">
        <w:rPr>
          <w:rFonts w:ascii="David" w:hAnsi="David" w:hint="cs"/>
          <w:rtl/>
        </w:rPr>
        <w:t xml:space="preserve"> בהתאם לתקנה 18(ג) ל</w:t>
      </w:r>
      <w:r w:rsidR="004356B4" w:rsidRPr="004356B4">
        <w:rPr>
          <w:rFonts w:ascii="David" w:hAnsi="David"/>
          <w:rtl/>
        </w:rPr>
        <w:t xml:space="preserve">תקנות </w:t>
      </w:r>
      <w:r w:rsidR="00A27BC8">
        <w:rPr>
          <w:rFonts w:ascii="David" w:hAnsi="David" w:hint="cs"/>
          <w:rtl/>
        </w:rPr>
        <w:t>(משפחה)</w:t>
      </w:r>
      <w:r w:rsidR="00706940">
        <w:rPr>
          <w:rFonts w:ascii="David" w:hAnsi="David" w:hint="cs"/>
          <w:rtl/>
        </w:rPr>
        <w:t xml:space="preserve"> </w:t>
      </w:r>
      <w:r w:rsidR="004356B4">
        <w:rPr>
          <w:rFonts w:ascii="David" w:hAnsi="David" w:hint="cs"/>
          <w:rtl/>
        </w:rPr>
        <w:t>נקבע כי:</w:t>
      </w:r>
      <w:r w:rsidR="00F86914">
        <w:rPr>
          <w:rFonts w:ascii="David" w:hAnsi="David" w:hint="cs"/>
          <w:rtl/>
        </w:rPr>
        <w:t xml:space="preserve"> </w:t>
      </w:r>
      <w:r w:rsidR="004356B4" w:rsidRPr="00F86914">
        <w:rPr>
          <w:b/>
          <w:bCs/>
          <w:noProof w:val="0"/>
          <w:sz w:val="22"/>
          <w:szCs w:val="22"/>
          <w:rtl/>
          <w:lang w:eastAsia="he-IL"/>
        </w:rPr>
        <w:t>"</w:t>
      </w:r>
      <w:r w:rsidR="004356B4" w:rsidRPr="00F86914">
        <w:rPr>
          <w:rFonts w:hint="cs"/>
          <w:b/>
          <w:bCs/>
          <w:noProof w:val="0"/>
          <w:sz w:val="22"/>
          <w:szCs w:val="22"/>
          <w:rtl/>
          <w:lang w:eastAsia="he-IL"/>
        </w:rPr>
        <w:t>ב</w:t>
      </w:r>
      <w:r w:rsidR="004356B4" w:rsidRPr="00F86914">
        <w:rPr>
          <w:b/>
          <w:bCs/>
          <w:noProof w:val="0"/>
          <w:sz w:val="22"/>
          <w:szCs w:val="22"/>
          <w:rtl/>
          <w:lang w:eastAsia="he-IL"/>
        </w:rPr>
        <w:t>תום הדיון בכל בקשה, רשאי בית המשפט לפסוק את הוצאות הבקשה ועל מי הן חלות, בלא קשר לתוצאות ההליך העיקרי</w:t>
      </w:r>
      <w:r w:rsidR="004356B4" w:rsidRPr="00F86914">
        <w:rPr>
          <w:rFonts w:hint="cs"/>
          <w:b/>
          <w:bCs/>
          <w:noProof w:val="0"/>
          <w:sz w:val="22"/>
          <w:szCs w:val="22"/>
          <w:rtl/>
          <w:lang w:eastAsia="he-IL"/>
        </w:rPr>
        <w:t>".</w:t>
      </w:r>
    </w:p>
    <w:p w:rsidR="00706940" w:rsidRDefault="00B063EB" w:rsidP="009B2ADA">
      <w:pPr>
        <w:pStyle w:val="ad"/>
        <w:numPr>
          <w:ilvl w:val="0"/>
          <w:numId w:val="2"/>
        </w:numPr>
        <w:spacing w:line="360" w:lineRule="auto"/>
        <w:jc w:val="both"/>
        <w:rPr>
          <w:rFonts w:ascii="David" w:hAnsi="David"/>
        </w:rPr>
      </w:pPr>
      <w:r>
        <w:rPr>
          <w:rFonts w:ascii="David" w:hAnsi="David"/>
          <w:rtl/>
        </w:rPr>
        <w:t>בעני</w:t>
      </w:r>
      <w:r w:rsidR="00522ABB">
        <w:rPr>
          <w:rFonts w:ascii="David" w:hAnsi="David"/>
          <w:rtl/>
        </w:rPr>
        <w:t>יננו, סברתי כי התנהלות המשיבים</w:t>
      </w:r>
      <w:r w:rsidR="004356B4">
        <w:rPr>
          <w:rFonts w:ascii="David" w:hAnsi="David"/>
          <w:rtl/>
        </w:rPr>
        <w:t>–</w:t>
      </w:r>
      <w:r w:rsidR="004356B4">
        <w:rPr>
          <w:rFonts w:ascii="David" w:hAnsi="David" w:hint="cs"/>
          <w:rtl/>
        </w:rPr>
        <w:t xml:space="preserve"> אשר חרף החלטות חוזרות ונשנות הגישו חוות דעת שלא כדין לתיק, </w:t>
      </w:r>
      <w:r w:rsidR="004A424A">
        <w:rPr>
          <w:rFonts w:ascii="David" w:hAnsi="David" w:hint="cs"/>
          <w:rtl/>
        </w:rPr>
        <w:t>וכן צרפו</w:t>
      </w:r>
      <w:r w:rsidR="004356B4">
        <w:rPr>
          <w:rFonts w:ascii="David" w:hAnsi="David" w:hint="cs"/>
          <w:rtl/>
        </w:rPr>
        <w:t xml:space="preserve"> מאות עמודים לתצהירים- מבלי להצביע על רלוונטיות </w:t>
      </w:r>
      <w:r w:rsidR="0016389D">
        <w:rPr>
          <w:rFonts w:ascii="David" w:hAnsi="David" w:hint="cs"/>
          <w:rtl/>
        </w:rPr>
        <w:t>להליך ובאופן שיש בו כדי לסרבל ולהעמיס</w:t>
      </w:r>
      <w:r w:rsidR="00F74A7B">
        <w:rPr>
          <w:rFonts w:ascii="David" w:hAnsi="David" w:hint="cs"/>
          <w:rtl/>
        </w:rPr>
        <w:t xml:space="preserve"> ואף להוביל להארכת ההליך</w:t>
      </w:r>
      <w:r w:rsidR="004356B4">
        <w:rPr>
          <w:rFonts w:ascii="David" w:hAnsi="David" w:hint="cs"/>
          <w:rtl/>
        </w:rPr>
        <w:t xml:space="preserve">, </w:t>
      </w:r>
      <w:r>
        <w:rPr>
          <w:rFonts w:ascii="David" w:hAnsi="David"/>
          <w:rtl/>
        </w:rPr>
        <w:t xml:space="preserve">מחייבת פסיקת הוצאות כבר בשלב זה </w:t>
      </w:r>
      <w:r w:rsidR="00522ABB" w:rsidRPr="00B0050C">
        <w:rPr>
          <w:rFonts w:ascii="David" w:hAnsi="David"/>
          <w:b/>
          <w:bCs/>
          <w:rtl/>
        </w:rPr>
        <w:t>ובמנותק מתוצאות ההליך העיקרי</w:t>
      </w:r>
      <w:r w:rsidR="00522ABB" w:rsidRPr="00B0050C">
        <w:rPr>
          <w:rFonts w:ascii="David" w:hAnsi="David" w:hint="cs"/>
          <w:b/>
          <w:bCs/>
          <w:rtl/>
        </w:rPr>
        <w:t>.</w:t>
      </w:r>
      <w:r w:rsidR="00522ABB">
        <w:rPr>
          <w:rFonts w:ascii="David" w:hAnsi="David" w:hint="cs"/>
          <w:rtl/>
        </w:rPr>
        <w:t xml:space="preserve"> </w:t>
      </w:r>
    </w:p>
    <w:p w:rsidR="00B063EB" w:rsidRDefault="00522ABB" w:rsidP="009B2ADA">
      <w:pPr>
        <w:pStyle w:val="ad"/>
        <w:numPr>
          <w:ilvl w:val="0"/>
          <w:numId w:val="2"/>
        </w:numPr>
        <w:spacing w:line="360" w:lineRule="auto"/>
        <w:jc w:val="both"/>
        <w:rPr>
          <w:rFonts w:ascii="David" w:hAnsi="David"/>
        </w:rPr>
      </w:pPr>
      <w:r>
        <w:rPr>
          <w:rFonts w:ascii="David" w:hAnsi="David" w:hint="cs"/>
          <w:rtl/>
        </w:rPr>
        <w:t xml:space="preserve">משכך, </w:t>
      </w:r>
      <w:r w:rsidR="006E325D">
        <w:rPr>
          <w:rFonts w:ascii="David" w:hAnsi="David"/>
          <w:rtl/>
        </w:rPr>
        <w:t>אני מורה על חיוב</w:t>
      </w:r>
      <w:r w:rsidR="006E325D">
        <w:rPr>
          <w:rFonts w:ascii="David" w:hAnsi="David" w:hint="cs"/>
          <w:rtl/>
        </w:rPr>
        <w:t xml:space="preserve"> ארבעת המשיבים,</w:t>
      </w:r>
      <w:r w:rsidR="00B063EB">
        <w:rPr>
          <w:rFonts w:ascii="David" w:hAnsi="David"/>
          <w:rtl/>
        </w:rPr>
        <w:t xml:space="preserve"> ביחד ולחוד, בהוצאות משפט בסך של 4,000 ₪ אשר ישולמו למבקשת תוך 30 ימים (תשלום זה </w:t>
      </w:r>
      <w:r w:rsidR="00B063EB">
        <w:rPr>
          <w:rFonts w:ascii="David" w:hAnsi="David"/>
          <w:b/>
          <w:bCs/>
          <w:rtl/>
        </w:rPr>
        <w:t xml:space="preserve">לא </w:t>
      </w:r>
      <w:r w:rsidR="00B063EB">
        <w:rPr>
          <w:rFonts w:ascii="David" w:hAnsi="David"/>
          <w:rtl/>
        </w:rPr>
        <w:t>יגבה מהערבון המופקד בתיק שמטרתו להבטיח תשלום ההוצאות בסופו של ההליך).</w:t>
      </w:r>
    </w:p>
    <w:p w:rsidR="00B063EB" w:rsidRDefault="00B063EB" w:rsidP="00B063EB">
      <w:pPr>
        <w:pStyle w:val="ad"/>
        <w:numPr>
          <w:ilvl w:val="0"/>
          <w:numId w:val="2"/>
        </w:numPr>
        <w:spacing w:line="360" w:lineRule="auto"/>
        <w:ind w:left="360"/>
        <w:jc w:val="both"/>
        <w:rPr>
          <w:rFonts w:ascii="David" w:hAnsi="David"/>
        </w:rPr>
      </w:pPr>
      <w:r>
        <w:rPr>
          <w:rFonts w:ascii="David" w:hAnsi="David"/>
          <w:rtl/>
        </w:rPr>
        <w:t xml:space="preserve">הרבה לפנים משורת הדין איני מחייבת בהוצאות לטובת אוצר המדינה. </w:t>
      </w:r>
    </w:p>
    <w:p w:rsidR="005E1204" w:rsidRDefault="005E1204" w:rsidP="005E1204">
      <w:pPr>
        <w:pStyle w:val="ad"/>
        <w:spacing w:line="360" w:lineRule="auto"/>
        <w:ind w:left="360"/>
        <w:jc w:val="both"/>
        <w:rPr>
          <w:rFonts w:ascii="David" w:hAnsi="David"/>
        </w:rPr>
      </w:pPr>
    </w:p>
    <w:p w:rsidR="00A27BC8" w:rsidRDefault="00A27BC8">
      <w:pPr>
        <w:spacing w:line="360" w:lineRule="auto"/>
        <w:jc w:val="both"/>
        <w:rPr>
          <w:rFonts w:ascii="Arial" w:hAnsi="Arial"/>
          <w:noProof w:val="0"/>
          <w:rtl/>
        </w:rPr>
      </w:pPr>
    </w:p>
    <w:p w:rsidR="00694556" w:rsidRPr="00DE1E7D" w:rsidRDefault="00A27BC8">
      <w:pPr>
        <w:spacing w:line="360" w:lineRule="auto"/>
        <w:jc w:val="both"/>
        <w:rPr>
          <w:rFonts w:ascii="Arial" w:hAnsi="Arial"/>
          <w:noProof w:val="0"/>
          <w:rtl/>
        </w:rPr>
      </w:pPr>
      <w:r>
        <w:rPr>
          <w:rFonts w:ascii="Arial" w:hAnsi="Arial" w:hint="cs"/>
          <w:noProof w:val="0"/>
          <w:rtl/>
        </w:rPr>
        <w:t xml:space="preserve">ההחלטה מותרת לפרסום בהסתרת פרטים מזהים. </w:t>
      </w: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ז' אלול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10 ספטמבר 2024</w:t>
          </w:r>
        </w:sdtContent>
      </w:sdt>
      <w:r w:rsidR="00005C8B">
        <w:rPr>
          <w:rFonts w:ascii="Arial" w:hAnsi="Arial"/>
          <w:noProof w:val="0"/>
          <w:rtl/>
        </w:rPr>
        <w:t>, בהעדר הצדדים.</w:t>
      </w:r>
    </w:p>
    <w:p w:rsidR="00C43648" w:rsidRDefault="00D067B5"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lastRenderedPageBreak/>
        <w:tab/>
      </w:r>
      <w:r>
        <w:rPr>
          <w:rFonts w:hint="cs"/>
          <w:rtl/>
        </w:rPr>
        <w:tab/>
      </w:r>
      <w:r>
        <w:rPr>
          <w:rFonts w:hint="cs"/>
          <w:rtl/>
        </w:rPr>
        <w:tab/>
      </w:r>
      <w:r>
        <w:rPr>
          <w:rFonts w:hint="cs"/>
          <w:rtl/>
        </w:rPr>
        <w:tab/>
        <w:t xml:space="preserve">        </w:t>
      </w:r>
      <w:sdt>
        <w:sdtPr>
          <w:rPr>
            <w:rtl/>
          </w:rPr>
          <w:alias w:val="MergeField"/>
          <w:tag w:val="1237"/>
          <w:id w:val="-274640758"/>
        </w:sdtPr>
        <w:sdtEndPr/>
        <w:sdtContent>
          <w:r w:rsidR="00F608FA">
            <w:drawing>
              <wp:inline distT="0" distB="0" distL="0" distR="0" wp14:editId="50D07946">
                <wp:extent cx="1028700" cy="1085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9" cstate="print">
                          <a:extLst/>
                        </a:blip>
                        <a:stretch>
                          <a:fillRect/>
                        </a:stretch>
                      </pic:blipFill>
                      <pic:spPr>
                        <a:xfrm>
                          <a:off x="0" y="0"/>
                          <a:ext cx="1028700" cy="10858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20"/>
      <w:headerReference w:type="default" r:id="rId21"/>
      <w:footerReference w:type="even" r:id="rId22"/>
      <w:footerReference w:type="default" r:id="rId23"/>
      <w:headerReference w:type="first" r:id="rId24"/>
      <w:footerReference w:type="first" r:id="rId25"/>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3E4F" w:rsidRDefault="00843E4F">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D067B5">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D067B5">
      <w:rPr>
        <w:rStyle w:val="ab"/>
        <w:rtl/>
      </w:rPr>
      <w:t>12</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3E4F" w:rsidRDefault="00843E4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3E4F" w:rsidRDefault="00843E4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D067B5" w:rsidP="00264867">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ת"ע</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064651">
                <w:rPr>
                  <w:b/>
                  <w:bCs/>
                  <w:noProof w:val="0"/>
                  <w:sz w:val="26"/>
                  <w:szCs w:val="26"/>
                  <w:rtl/>
                </w:rPr>
                <w:t>50077-02-23</w:t>
              </w:r>
            </w:sdtContent>
          </w:sdt>
          <w:bookmarkEnd w:id="1"/>
          <w:r w:rsidR="00005C8B">
            <w:rPr>
              <w:b/>
              <w:bCs/>
              <w:noProof w:val="0"/>
              <w:sz w:val="26"/>
              <w:szCs w:val="26"/>
              <w:rtl/>
            </w:rPr>
            <w:t xml:space="preserve"> </w:t>
          </w:r>
          <w:sdt>
            <w:sdtPr>
              <w:rPr>
                <w:rtl/>
              </w:rPr>
              <w:alias w:val="1172"/>
              <w:tag w:val="1172"/>
              <w:id w:val="-595170033"/>
              <w:text w:multiLine="1"/>
            </w:sdtPr>
            <w:sdtEndPr/>
            <w:sdtContent>
              <w:r w:rsidR="00264867">
                <w:rPr>
                  <w:rFonts w:hint="cs"/>
                  <w:b/>
                  <w:bCs/>
                  <w:noProof w:val="0"/>
                  <w:sz w:val="26"/>
                  <w:szCs w:val="26"/>
                  <w:rtl/>
                </w:rPr>
                <w:t>צ'</w:t>
              </w:r>
              <w:r w:rsidR="00064651">
                <w:rPr>
                  <w:b/>
                  <w:bCs/>
                  <w:noProof w:val="0"/>
                  <w:sz w:val="26"/>
                  <w:szCs w:val="26"/>
                  <w:rtl/>
                </w:rPr>
                <w:t xml:space="preserve"> ואח' נ' </w:t>
              </w:r>
              <w:r w:rsidR="00264867">
                <w:rPr>
                  <w:rFonts w:hint="cs"/>
                  <w:b/>
                  <w:bCs/>
                  <w:noProof w:val="0"/>
                  <w:sz w:val="26"/>
                  <w:szCs w:val="26"/>
                  <w:rtl/>
                </w:rPr>
                <w:t>צ'</w:t>
              </w:r>
              <w:r w:rsidR="00064651">
                <w:rPr>
                  <w:b/>
                  <w:bCs/>
                  <w:noProof w:val="0"/>
                  <w:sz w:val="26"/>
                  <w:szCs w:val="26"/>
                  <w:rtl/>
                </w:rPr>
                <w:t xml:space="preserve"> ואח'</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r>
                <w:rPr>
                  <w:rFonts w:hint="eastAsia"/>
                  <w:sz w:val="20"/>
                  <w:szCs w:val="20"/>
                  <w:rtl/>
                </w:rPr>
                <w:t>131806_4</w:t>
              </w: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3E4F" w:rsidRDefault="00843E4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F13FA"/>
    <w:multiLevelType w:val="hybridMultilevel"/>
    <w:tmpl w:val="11625F18"/>
    <w:lvl w:ilvl="0" w:tplc="D15424C6">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352C22E6"/>
    <w:multiLevelType w:val="hybridMultilevel"/>
    <w:tmpl w:val="8E3C1FD4"/>
    <w:lvl w:ilvl="0" w:tplc="604E2E88">
      <w:start w:val="1"/>
      <w:numFmt w:val="decimal"/>
      <w:lvlText w:val="%1."/>
      <w:lvlJc w:val="left"/>
      <w:pPr>
        <w:ind w:left="720" w:hanging="360"/>
      </w:pPr>
      <w:rPr>
        <w:rFonts w:ascii="Arial" w:hAnsi="Arial"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A137615"/>
    <w:multiLevelType w:val="hybridMultilevel"/>
    <w:tmpl w:val="46B27D9C"/>
    <w:lvl w:ilvl="0" w:tplc="F640B7BC">
      <w:start w:val="2"/>
      <w:numFmt w:val="bullet"/>
      <w:lvlText w:val="-"/>
      <w:lvlJc w:val="left"/>
      <w:pPr>
        <w:ind w:left="1080" w:hanging="360"/>
      </w:pPr>
      <w:rPr>
        <w:rFonts w:ascii="David" w:eastAsia="David" w:hAnsi="David" w:cs="David"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51B00856"/>
    <w:multiLevelType w:val="hybridMultilevel"/>
    <w:tmpl w:val="D9B0E8D0"/>
    <w:lvl w:ilvl="0" w:tplc="A47A6854">
      <w:start w:val="1"/>
      <w:numFmt w:val="bullet"/>
      <w:lvlText w:val="-"/>
      <w:lvlJc w:val="left"/>
      <w:pPr>
        <w:ind w:left="720" w:hanging="360"/>
      </w:pPr>
      <w:rPr>
        <w:rFonts w:ascii="David" w:eastAsia="Times New Roman" w:hAnsi="David" w:cs="David"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AAB0DE0"/>
    <w:multiLevelType w:val="hybridMultilevel"/>
    <w:tmpl w:val="8E40BCCE"/>
    <w:lvl w:ilvl="0" w:tplc="0FFA4F0A">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7DE47358"/>
    <w:multiLevelType w:val="hybridMultilevel"/>
    <w:tmpl w:val="0D1A21CE"/>
    <w:lvl w:ilvl="0" w:tplc="1BD05430">
      <w:numFmt w:val="bullet"/>
      <w:lvlText w:val="-"/>
      <w:lvlJc w:val="left"/>
      <w:pPr>
        <w:ind w:left="1080" w:hanging="360"/>
      </w:pPr>
      <w:rPr>
        <w:rFonts w:ascii="David" w:eastAsia="Times New Roman" w:hAnsi="David" w:cs="David"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7E4C7780"/>
    <w:multiLevelType w:val="hybridMultilevel"/>
    <w:tmpl w:val="8CBEC0A0"/>
    <w:lvl w:ilvl="0" w:tplc="0409000F">
      <w:start w:val="1"/>
      <w:numFmt w:val="decimal"/>
      <w:lvlText w:val="%1."/>
      <w:lvlJc w:val="left"/>
      <w:pPr>
        <w:ind w:left="502"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2"/>
  </w:num>
  <w:num w:numId="5">
    <w:abstractNumId w:val="3"/>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205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02760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027601&amp;lt;/CaseID&amp;gt;_x000d__x000a_        &amp;lt;CaseMonth&amp;gt;2&amp;lt;/CaseMonth&amp;gt;_x000d__x000a_        &amp;lt;CaseYear&amp;gt;2023&amp;lt;/CaseYear&amp;gt;_x000d__x000a_        &amp;lt;CaseNumber&amp;gt;50077&amp;lt;/CaseNumber&amp;gt;_x000d__x000a_        &amp;lt;NumeratorGroupID&amp;gt;1&amp;lt;/NumeratorGroupID&amp;gt;_x000d__x000a_        &amp;lt;CaseName&amp;gt;צרפתי ואח&amp;#39; נ&amp;#39; צרפתי ואח&amp;#39;&amp;lt;/CaseName&amp;gt;_x000d__x000a_        &amp;lt;CourtID&amp;gt;26&amp;lt;/CourtID&amp;gt;_x000d__x000a_        &amp;lt;CaseTypeID&amp;gt;86&amp;lt;/CaseTypeID&amp;gt;_x000d__x000a_        &amp;lt;CaseInterestID&amp;gt;161&amp;lt;/CaseInterestID&amp;gt;_x000d__x000a_        &amp;lt;CaseJudgeName&amp;gt;אלה פטל&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0077-02-23&amp;lt;/CaseDisplayIdentifier&amp;gt;_x000d__x000a_        &amp;lt;CaseTypeDesc&amp;gt;ת&amp;quot;ע&amp;lt;/CaseTypeDesc&amp;gt;_x000d__x000a_        &amp;lt;CourtDesc&amp;gt;שלום חיפה&amp;lt;/CourtDesc&amp;gt;_x000d__x000a_        &amp;lt;CaseStageDesc&amp;gt;תיק אלקטרוני&amp;lt;/CaseStageDesc&amp;gt;_x000d__x000a_        &amp;lt;IsUnpaidFeeExist&amp;gt;false&amp;lt;/IsUnpaidFeeExist&amp;gt;_x000d__x000a_        &amp;lt;CaseNextDeterminingTask&amp;gt;142&amp;lt;/CaseNextDeterminingTask&amp;gt;_x000d__x000a_        &amp;lt;CaseOpenDate&amp;gt;2023-02-21T07:23:00+02:00&amp;lt;/CaseOpenDate&amp;gt;_x000d__x000a_        &amp;lt;PleaTypeID&amp;gt;253&amp;lt;/PleaTypeID&amp;gt;_x000d__x000a_        &amp;lt;CourtLevelID&amp;gt;1&amp;lt;/CourtLevelID&amp;gt;_x000d__x000a_        &amp;lt;CourtLevelCaseTypeInterestID&amp;gt;168&amp;lt;/CourtLevelCaseTypeInterestID&amp;gt;_x000d__x000a_        &amp;lt;CaseJudgeFirstName&amp;gt;אלה&amp;lt;/CaseJudgeFirstName&amp;gt;_x000d__x000a_        &amp;lt;CaseJudgeLastName&amp;gt;פטל&amp;lt;/CaseJudgeLastName&amp;gt;_x000d__x000a_        &amp;lt;JudicalPersonID&amp;gt;035710987@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amp;gt;בהתאם להחלטה מיום 8.8.24 התיק הרפואי נסרק לתיק_x000d__x000a_העותק המקורי נמצא במזכירות אצל ליז (במגירה)&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tru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027601&amp;lt;/CaseID&amp;gt;_x000d__x000a_        &amp;lt;CaseMonth&amp;gt;2&amp;lt;/CaseMonth&amp;gt;_x000d__x000a_        &amp;lt;CaseYear&amp;gt;2023&amp;lt;/CaseYear&amp;gt;_x000d__x000a_        &amp;lt;CaseNumber&amp;gt;50077&amp;lt;/CaseNumber&amp;gt;_x000d__x000a_        &amp;lt;NumeratorGroupID&amp;gt;1&amp;lt;/NumeratorGroupID&amp;gt;_x000d__x000a_        &amp;lt;CaseName&amp;gt;צרפתי ואח&amp;#39; נ&amp;#39; צרפתי ואח&amp;#39;&amp;lt;/CaseName&amp;gt;_x000d__x000a_        &amp;lt;CourtID&amp;gt;26&amp;lt;/CourtID&amp;gt;_x000d__x000a_        &amp;lt;CaseTypeID&amp;gt;86&amp;lt;/CaseTypeID&amp;gt;_x000d__x000a_        &amp;lt;CaseInterestID&amp;gt;161&amp;lt;/CaseInterestID&amp;gt;_x000d__x000a_        &amp;lt;CaseJudgeName&amp;gt;אלה פטל&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0077-02-23&amp;lt;/CaseDisplayIdentifier&amp;gt;_x000d__x000a_        &amp;lt;CaseTypeDesc&amp;gt;ת&amp;quot;ע&amp;lt;/CaseTypeDesc&amp;gt;_x000d__x000a_        &amp;lt;CourtDesc&amp;gt;שלום חיפה&amp;lt;/CourtDesc&amp;gt;_x000d__x000a_        &amp;lt;CaseStageDesc&amp;gt;תיק אלקטרוני&amp;lt;/CaseStageDesc&amp;gt;_x000d__x000a_        &amp;lt;CaseNextDeterminingTask&amp;gt;142&amp;lt;/CaseNextDeterminingTask&amp;gt;_x000d__x000a_        &amp;lt;CaseOpenDate&amp;gt;2023-02-21T07:23:00+02:00&amp;lt;/CaseOpenDate&amp;gt;_x000d__x000a_        &amp;lt;PleaTypeID&amp;gt;253&amp;lt;/PleaTypeID&amp;gt;_x000d__x000a_        &amp;lt;CourtLevelID&amp;gt;1&amp;lt;/CourtLevelID&amp;gt;_x000d__x000a_        &amp;lt;CourtLevelCaseTypeInterestID&amp;gt;168&amp;lt;/CourtLevelCaseTypeInterestID&amp;gt;_x000d__x000a_        &amp;lt;CaseJudgeFirstName&amp;gt;אלה&amp;lt;/CaseJudgeFirstName&amp;gt;_x000d__x000a_        &amp;lt;CaseJudgeLastName&amp;gt;פטל&amp;lt;/CaseJudgeLastName&amp;gt;_x000d__x000a_        &amp;lt;JudicalPersonID&amp;gt;035710987@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amp;gt;בהתאם להחלטה מיום 8.8.24 התיק הרפואי נסרק לתיק_x000d__x000a_העותק המקורי נמצא במזכירות אצל ליז (במגירה)&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772211&amp;lt;/DecisionID&amp;gt;_x000d__x000a_        &amp;lt;DecisionNumber&amp;gt;27&amp;lt;/DecisionNumber&amp;gt;_x000d__x000a_        &amp;lt;DecisionName&amp;gt;החלטה על בקשה של תובע 4 בקשה למזכירות&amp;lt;/DecisionName&amp;gt;_x000d__x000a_        &amp;lt;DecisionStatusID&amp;gt;1&amp;lt;/DecisionStatusID&amp;gt;_x000d__x000a_        &amp;lt;DecisionStatusChangeDate&amp;gt;2024-09-09T17:08:33.26+03:00&amp;lt;/DecisionStatusChangeDate&amp;gt;_x000d__x000a_        &amp;lt;DecisionSignatureDate&amp;gt;2024-09-09T11:08:43.05+03:00&amp;lt;/DecisionSignatureDate&amp;gt;_x000d__x000a_        &amp;lt;DecisionSignatureUserID&amp;gt;035710987@GOV.IL&amp;lt;/DecisionSignatureUserID&amp;gt;_x000d__x000a_        &amp;lt;DecisionCreateDate&amp;gt;2024-09-09T11:11:42+03:00&amp;lt;/DecisionCreateDate&amp;gt;_x000d__x000a_        &amp;lt;DecisionChangeDate&amp;gt;2024-09-09T17:08:33.35+03:00&amp;lt;/DecisionChangeDate&amp;gt;_x000d__x000a_        &amp;lt;DecisionChangeUserID&amp;gt;03571098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4551692&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571098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5710987@GOV.IL&amp;lt;/DecisionCreationUserID&amp;gt;_x000d__x000a_        &amp;lt;DecisionDisplayName&amp;gt;החלטה על בקשה של תובע 4 בקשה למזכירות&amp;lt;/DecisionDisplayName&amp;gt;_x000d__x000a_        &amp;lt;IsScanned&amp;gt;false&amp;lt;/IsScanned&amp;gt;_x000d__x000a_        &amp;lt;DecisionSignatureUserName&amp;gt;אלה פטל&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2&amp;lt;/DecisionNumberInCase&amp;gt;_x000d__x000a_      &amp;lt;/dt_Decision&amp;gt;_x000d__x000a_      &amp;lt;dt_DecisionCase diffgr:id=&amp;quot;dt_DecisionCase1&amp;quot; msdata:rowOrder=&amp;quot;0&amp;quot;&amp;gt;_x000d__x000a_        &amp;lt;DecisionID&amp;gt;154772211&amp;lt;/DecisionID&amp;gt;_x000d__x000a_        &amp;lt;CaseID&amp;gt;80027601&amp;lt;/CaseID&amp;gt;_x000d__x000a_        &amp;lt;IsOriginal&amp;gt;true&amp;lt;/IsOriginal&amp;gt;_x000d__x000a_        &amp;lt;IsDeleted&amp;gt;false&amp;lt;/IsDeleted&amp;gt;_x000d__x000a_        &amp;lt;CaseName&amp;gt;צרפתי ואח&amp;#39; נ&amp;#39; צרפתי ואח&amp;#39;&amp;lt;/CaseName&amp;gt;_x000d__x000a_        &amp;lt;CaseDisplayIdentifier&amp;gt;50077-02-23 ת&amp;quot;ע&amp;lt;/CaseDisplayIdentifier&amp;gt;_x000d__x000a_      &amp;lt;/dt_DecisionCase&amp;gt;_x000d__x000a_      &amp;lt;dt_DecisionMotion diffgr:id=&amp;quot;dt_DecisionMotion1&amp;quot; msdata:rowOrder=&amp;quot;0&amp;quot;&amp;gt;_x000d__x000a_        &amp;lt;DecisionID&amp;gt;154772211&amp;lt;/DecisionID&amp;gt;_x000d__x000a_        &amp;lt;MotionID&amp;gt;109523248&amp;lt;/MotionID&amp;gt;_x000d__x000a_        &amp;lt;IsOriginalMotion&amp;gt;true&amp;lt;/IsOriginalMotion&amp;gt;_x000d__x000a_        &amp;lt;MotionName&amp;gt;בקשה של תובע 4 בקשה למזכירות&amp;lt;/MotionName&amp;gt;_x000d__x000a_        &amp;lt;MotionOpenDate&amp;gt;2024-09-01T13:30:45.3+03:00&amp;lt;/MotionOpenDate&amp;gt;_x000d__x000a_        &amp;lt;CaseID&amp;gt;80027601&amp;lt;/CaseID&amp;gt;_x000d__x000a_        &amp;lt;CaseDisplayIdentifier&amp;gt;50077-02-23 ת&amp;quot;ע&amp;lt;/CaseDisplayIdentifier&amp;gt;_x000d__x000a_        &amp;lt;ProcessNumber&amp;gt;27&amp;lt;/ProcessNumber&amp;gt;_x000d__x000a_        &amp;lt;ListOfProcessIds&amp;gt;27&amp;lt;/ListOfProcessIds&amp;gt;_x000d__x000a_      &amp;lt;/dt_DecisionMotion&amp;gt;_x000d__x000a_    &amp;lt;/DecisionDS&amp;gt;_x000d__x000a_  &amp;lt;/diffgr:diffgram&amp;gt;_x000d__x000a_&amp;lt;/DecisionDS&amp;gt;"/>
    <w:docVar w:name="DecisionID" w:val="154772211"/>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64651"/>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6389D"/>
    <w:rsid w:val="00180519"/>
    <w:rsid w:val="00191C82"/>
    <w:rsid w:val="001C4003"/>
    <w:rsid w:val="001D4DBF"/>
    <w:rsid w:val="001E75CA"/>
    <w:rsid w:val="002265FF"/>
    <w:rsid w:val="00234943"/>
    <w:rsid w:val="00264867"/>
    <w:rsid w:val="00271B56"/>
    <w:rsid w:val="0028443A"/>
    <w:rsid w:val="002C344E"/>
    <w:rsid w:val="002C3F4A"/>
    <w:rsid w:val="002C67A8"/>
    <w:rsid w:val="002E75E9"/>
    <w:rsid w:val="00307A6A"/>
    <w:rsid w:val="00307C40"/>
    <w:rsid w:val="00320433"/>
    <w:rsid w:val="003230C7"/>
    <w:rsid w:val="00327E50"/>
    <w:rsid w:val="0033597A"/>
    <w:rsid w:val="00343D89"/>
    <w:rsid w:val="00362612"/>
    <w:rsid w:val="0036743F"/>
    <w:rsid w:val="003715DD"/>
    <w:rsid w:val="003823E0"/>
    <w:rsid w:val="003A4521"/>
    <w:rsid w:val="003D1C8C"/>
    <w:rsid w:val="0040096C"/>
    <w:rsid w:val="00414F1F"/>
    <w:rsid w:val="0043125D"/>
    <w:rsid w:val="0043502B"/>
    <w:rsid w:val="004356B4"/>
    <w:rsid w:val="004443AC"/>
    <w:rsid w:val="00444782"/>
    <w:rsid w:val="00444B02"/>
    <w:rsid w:val="00451E28"/>
    <w:rsid w:val="00462C62"/>
    <w:rsid w:val="00465D36"/>
    <w:rsid w:val="004A424A"/>
    <w:rsid w:val="004C17EE"/>
    <w:rsid w:val="004C4BDF"/>
    <w:rsid w:val="004D1187"/>
    <w:rsid w:val="004D1BEC"/>
    <w:rsid w:val="004D3AA0"/>
    <w:rsid w:val="004E1987"/>
    <w:rsid w:val="004E2E15"/>
    <w:rsid w:val="004E6E3C"/>
    <w:rsid w:val="00520898"/>
    <w:rsid w:val="00522ABB"/>
    <w:rsid w:val="00523621"/>
    <w:rsid w:val="00524986"/>
    <w:rsid w:val="005268F6"/>
    <w:rsid w:val="00534284"/>
    <w:rsid w:val="00547DB7"/>
    <w:rsid w:val="0055573B"/>
    <w:rsid w:val="005E1204"/>
    <w:rsid w:val="005F4F09"/>
    <w:rsid w:val="0061431B"/>
    <w:rsid w:val="00622BAA"/>
    <w:rsid w:val="006306CF"/>
    <w:rsid w:val="006412D2"/>
    <w:rsid w:val="00644E9A"/>
    <w:rsid w:val="00671BD5"/>
    <w:rsid w:val="006805C1"/>
    <w:rsid w:val="00686C21"/>
    <w:rsid w:val="006931C1"/>
    <w:rsid w:val="00694556"/>
    <w:rsid w:val="006B58ED"/>
    <w:rsid w:val="006C30C5"/>
    <w:rsid w:val="006C4820"/>
    <w:rsid w:val="006D3B31"/>
    <w:rsid w:val="006E0D96"/>
    <w:rsid w:val="006E1A53"/>
    <w:rsid w:val="006E325D"/>
    <w:rsid w:val="006F56E6"/>
    <w:rsid w:val="00704EDA"/>
    <w:rsid w:val="00706940"/>
    <w:rsid w:val="007109B0"/>
    <w:rsid w:val="00721122"/>
    <w:rsid w:val="007434BC"/>
    <w:rsid w:val="00753019"/>
    <w:rsid w:val="00754801"/>
    <w:rsid w:val="00761441"/>
    <w:rsid w:val="00795365"/>
    <w:rsid w:val="007A351D"/>
    <w:rsid w:val="007B7765"/>
    <w:rsid w:val="007C5BDD"/>
    <w:rsid w:val="007D45E3"/>
    <w:rsid w:val="007E6115"/>
    <w:rsid w:val="007F4609"/>
    <w:rsid w:val="00814468"/>
    <w:rsid w:val="008176A1"/>
    <w:rsid w:val="00820005"/>
    <w:rsid w:val="00843E4F"/>
    <w:rsid w:val="00844318"/>
    <w:rsid w:val="00847BA5"/>
    <w:rsid w:val="0086061C"/>
    <w:rsid w:val="00863F5D"/>
    <w:rsid w:val="00870890"/>
    <w:rsid w:val="00873602"/>
    <w:rsid w:val="00875D12"/>
    <w:rsid w:val="00881CCE"/>
    <w:rsid w:val="0088479D"/>
    <w:rsid w:val="00896889"/>
    <w:rsid w:val="00897DAF"/>
    <w:rsid w:val="008C5714"/>
    <w:rsid w:val="008D10B2"/>
    <w:rsid w:val="008F324A"/>
    <w:rsid w:val="00903896"/>
    <w:rsid w:val="00906F3D"/>
    <w:rsid w:val="0094424E"/>
    <w:rsid w:val="00955642"/>
    <w:rsid w:val="009622DF"/>
    <w:rsid w:val="0096493F"/>
    <w:rsid w:val="00967DFF"/>
    <w:rsid w:val="00994341"/>
    <w:rsid w:val="00996935"/>
    <w:rsid w:val="009B2ADA"/>
    <w:rsid w:val="009D1A48"/>
    <w:rsid w:val="009E1CE7"/>
    <w:rsid w:val="009E4EA5"/>
    <w:rsid w:val="009F164B"/>
    <w:rsid w:val="009F323C"/>
    <w:rsid w:val="00A27BC8"/>
    <w:rsid w:val="00A3392B"/>
    <w:rsid w:val="00A80B8A"/>
    <w:rsid w:val="00A85E34"/>
    <w:rsid w:val="00A91457"/>
    <w:rsid w:val="00A94B64"/>
    <w:rsid w:val="00AA3229"/>
    <w:rsid w:val="00AA7596"/>
    <w:rsid w:val="00AB5E52"/>
    <w:rsid w:val="00AC1527"/>
    <w:rsid w:val="00AC30D6"/>
    <w:rsid w:val="00AC3B02"/>
    <w:rsid w:val="00AC3B7B"/>
    <w:rsid w:val="00AC5209"/>
    <w:rsid w:val="00AE0E34"/>
    <w:rsid w:val="00AE729E"/>
    <w:rsid w:val="00AE7752"/>
    <w:rsid w:val="00AF7FDA"/>
    <w:rsid w:val="00B0050C"/>
    <w:rsid w:val="00B063EB"/>
    <w:rsid w:val="00B5356E"/>
    <w:rsid w:val="00B809AD"/>
    <w:rsid w:val="00B80CBD"/>
    <w:rsid w:val="00B86096"/>
    <w:rsid w:val="00B964D9"/>
    <w:rsid w:val="00B967EA"/>
    <w:rsid w:val="00BA0A7C"/>
    <w:rsid w:val="00BA517C"/>
    <w:rsid w:val="00BB3D05"/>
    <w:rsid w:val="00BB73BE"/>
    <w:rsid w:val="00BC2D89"/>
    <w:rsid w:val="00BD6531"/>
    <w:rsid w:val="00BD67B3"/>
    <w:rsid w:val="00BE05B2"/>
    <w:rsid w:val="00BE67A3"/>
    <w:rsid w:val="00BF1908"/>
    <w:rsid w:val="00C22D93"/>
    <w:rsid w:val="00C23458"/>
    <w:rsid w:val="00C31120"/>
    <w:rsid w:val="00C34482"/>
    <w:rsid w:val="00C43648"/>
    <w:rsid w:val="00C50A9F"/>
    <w:rsid w:val="00C642FA"/>
    <w:rsid w:val="00CC7622"/>
    <w:rsid w:val="00CD608F"/>
    <w:rsid w:val="00CF6BB7"/>
    <w:rsid w:val="00D01D07"/>
    <w:rsid w:val="00D04AA4"/>
    <w:rsid w:val="00D067B5"/>
    <w:rsid w:val="00D27982"/>
    <w:rsid w:val="00D33B86"/>
    <w:rsid w:val="00D44968"/>
    <w:rsid w:val="00D4707A"/>
    <w:rsid w:val="00D53924"/>
    <w:rsid w:val="00D55D0C"/>
    <w:rsid w:val="00D733FF"/>
    <w:rsid w:val="00D96D8C"/>
    <w:rsid w:val="00DA6649"/>
    <w:rsid w:val="00DC1259"/>
    <w:rsid w:val="00DC1BD2"/>
    <w:rsid w:val="00DC2571"/>
    <w:rsid w:val="00DC487C"/>
    <w:rsid w:val="00DE1E7D"/>
    <w:rsid w:val="00DE6BF6"/>
    <w:rsid w:val="00E04E84"/>
    <w:rsid w:val="00E1068A"/>
    <w:rsid w:val="00E25884"/>
    <w:rsid w:val="00E25B55"/>
    <w:rsid w:val="00E31C2B"/>
    <w:rsid w:val="00E43BF7"/>
    <w:rsid w:val="00E5426A"/>
    <w:rsid w:val="00E54642"/>
    <w:rsid w:val="00E54CD9"/>
    <w:rsid w:val="00E80CBE"/>
    <w:rsid w:val="00E962E3"/>
    <w:rsid w:val="00EB3C89"/>
    <w:rsid w:val="00EB6C79"/>
    <w:rsid w:val="00EC37E9"/>
    <w:rsid w:val="00EF3CB3"/>
    <w:rsid w:val="00F038D8"/>
    <w:rsid w:val="00F06995"/>
    <w:rsid w:val="00F13623"/>
    <w:rsid w:val="00F23E16"/>
    <w:rsid w:val="00F44D1D"/>
    <w:rsid w:val="00F608FA"/>
    <w:rsid w:val="00F74A7B"/>
    <w:rsid w:val="00F84B6D"/>
    <w:rsid w:val="00F86914"/>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825"/>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basedOn w:val="a0"/>
    <w:semiHidden/>
    <w:unhideWhenUsed/>
    <w:rsid w:val="00B063EB"/>
    <w:rPr>
      <w:color w:val="0000FF"/>
      <w:u w:val="single"/>
    </w:rPr>
  </w:style>
  <w:style w:type="paragraph" w:styleId="ad">
    <w:name w:val="List Paragraph"/>
    <w:basedOn w:val="a"/>
    <w:uiPriority w:val="34"/>
    <w:qFormat/>
    <w:rsid w:val="00B063EB"/>
    <w:pPr>
      <w:ind w:left="720"/>
      <w:contextualSpacing/>
    </w:pPr>
  </w:style>
  <w:style w:type="paragraph" w:customStyle="1" w:styleId="Ruller5">
    <w:name w:val="Ruller5"/>
    <w:basedOn w:val="a"/>
    <w:rsid w:val="00B063EB"/>
    <w:pPr>
      <w:overflowPunct w:val="0"/>
      <w:autoSpaceDE w:val="0"/>
      <w:autoSpaceDN w:val="0"/>
      <w:adjustRightInd w:val="0"/>
      <w:ind w:left="1642" w:right="1282"/>
      <w:jc w:val="both"/>
    </w:pPr>
    <w:rPr>
      <w:rFonts w:ascii="Arial TUR" w:hAnsi="Arial TUR" w:cs="FrankRuehl"/>
      <w:noProof w:val="0"/>
      <w:spacing w:val="10"/>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4324886">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law/74880" TargetMode="External"/><Relationship Id="rId18" Type="http://schemas.openxmlformats.org/officeDocument/2006/relationships/hyperlink" Target="http://www.nevo.co.il/law/157751/156"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nevo.co.il/law/74880/254jb.g" TargetMode="External"/><Relationship Id="rId17" Type="http://schemas.openxmlformats.org/officeDocument/2006/relationships/hyperlink" Target="http://www.nevo.co.il/case/17945922"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s://www.nevo.co.il/psika_html/elyon/KE-1-524-L.htm"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law/74880" TargetMode="External"/><Relationship Id="rId24" Type="http://schemas.openxmlformats.org/officeDocument/2006/relationships/header" Target="header3.xml"/><Relationship Id="rId5" Type="http://schemas.openxmlformats.org/officeDocument/2006/relationships/styles" Target="styles.xml"/><Relationship Id="rId15" Type="http://schemas.openxmlformats.org/officeDocument/2006/relationships/hyperlink" Target="http://www.nevo.co.il/law/98460/8.c"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hyperlink" Target="http://www.nevo.co.il/law/74880/127" TargetMode="External"/><Relationship Id="rId19"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law/98460" TargetMode="External"/><Relationship Id="rId22" Type="http://schemas.openxmlformats.org/officeDocument/2006/relationships/footer" Target="footer1.xml"/><Relationship Id="rId27"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4866EA" w:rsidP="004866EA">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405FEA"/>
    <w:rsid w:val="004745AE"/>
    <w:rsid w:val="0048651F"/>
    <w:rsid w:val="004866EA"/>
    <w:rsid w:val="005157ED"/>
    <w:rsid w:val="00537C67"/>
    <w:rsid w:val="00556D67"/>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4866EA"/>
    <w:pPr>
      <w:bidi/>
      <w:spacing w:after="0" w:line="240" w:lineRule="auto"/>
    </w:pPr>
    <w:rPr>
      <w:rFonts w:ascii="Times New Roman" w:eastAsia="Times New Roman" w:hAnsi="Times New Roman" w:cs="David"/>
      <w:noProof/>
      <w:sz w:val="24"/>
      <w:szCs w:val="24"/>
    </w:rPr>
  </w:style>
  <w:style w:type="paragraph" w:customStyle="1" w:styleId="763423796A904B5BA3FC032CB9DEF514">
    <w:name w:val="763423796A904B5BA3FC032CB9DEF514"/>
    <w:rsid w:val="004866EA"/>
    <w:pPr>
      <w:bidi/>
      <w:spacing w:after="160" w:line="259" w:lineRule="auto"/>
    </w:pPr>
  </w:style>
  <w:style w:type="paragraph" w:customStyle="1" w:styleId="62FB9E5C60E54FD88B5E0E57A4CBA1F0">
    <w:name w:val="62FB9E5C60E54FD88B5E0E57A4CBA1F0"/>
    <w:rsid w:val="004866EA"/>
    <w:pPr>
      <w:bidi/>
      <w:spacing w:after="160" w:line="259" w:lineRule="auto"/>
    </w:pPr>
  </w:style>
  <w:style w:type="paragraph" w:customStyle="1" w:styleId="D90C9DEB8D9A432084FF0C4277428C08">
    <w:name w:val="D90C9DEB8D9A432084FF0C4277428C08"/>
    <w:rsid w:val="004866EA"/>
    <w:pPr>
      <w:bidi/>
      <w:spacing w:after="160" w:line="259" w:lineRule="auto"/>
    </w:pPr>
  </w:style>
  <w:style w:type="paragraph" w:customStyle="1" w:styleId="7617DBC97765493CB4BD9E95F7FB5F1B">
    <w:name w:val="7617DBC97765493CB4BD9E95F7FB5F1B"/>
    <w:rsid w:val="004866EA"/>
    <w:pPr>
      <w:bidi/>
      <w:spacing w:after="160" w:line="259" w:lineRule="auto"/>
    </w:pPr>
  </w:style>
  <w:style w:type="paragraph" w:customStyle="1" w:styleId="433E1C4CDC7941739972E617479CB0F4">
    <w:name w:val="433E1C4CDC7941739972E617479CB0F4"/>
    <w:rsid w:val="004866EA"/>
    <w:pPr>
      <w:bidi/>
      <w:spacing w:after="160" w:line="259" w:lineRule="auto"/>
    </w:pPr>
  </w:style>
  <w:style w:type="paragraph" w:customStyle="1" w:styleId="14CB712AD421400397EC13AFDFC721CD">
    <w:name w:val="14CB712AD421400397EC13AFDFC721CD"/>
    <w:rsid w:val="004866EA"/>
    <w:pPr>
      <w:bidi/>
      <w:spacing w:after="160" w:line="259" w:lineRule="auto"/>
    </w:pPr>
  </w:style>
  <w:style w:type="paragraph" w:customStyle="1" w:styleId="FAD477B9D2FD4B12AE0CF6AC3A5F2642">
    <w:name w:val="FAD477B9D2FD4B12AE0CF6AC3A5F2642"/>
    <w:rsid w:val="004866EA"/>
    <w:pPr>
      <w:bidi/>
      <w:spacing w:after="160" w:line="259" w:lineRule="auto"/>
    </w:pPr>
  </w:style>
  <w:style w:type="paragraph" w:customStyle="1" w:styleId="37E08A15805345329C962FBB66D20B4A">
    <w:name w:val="37E08A15805345329C962FBB66D20B4A"/>
    <w:rsid w:val="004866EA"/>
    <w:pPr>
      <w:bidi/>
      <w:spacing w:after="160" w:line="259" w:lineRule="auto"/>
    </w:pPr>
  </w:style>
  <w:style w:type="paragraph" w:customStyle="1" w:styleId="18AFA786E1264CFFAA5A748098EE8D85">
    <w:name w:val="18AFA786E1264CFFAA5A748098EE8D85"/>
    <w:rsid w:val="004866EA"/>
    <w:pPr>
      <w:bidi/>
      <w:spacing w:after="160" w:line="259" w:lineRule="auto"/>
    </w:pPr>
  </w:style>
  <w:style w:type="paragraph" w:customStyle="1" w:styleId="12BE655C77DB43ED999D466F61D7E764">
    <w:name w:val="12BE655C77DB43ED999D466F61D7E764"/>
    <w:rsid w:val="004866EA"/>
    <w:pPr>
      <w:bidi/>
      <w:spacing w:after="160" w:line="259" w:lineRule="auto"/>
    </w:pPr>
  </w:style>
  <w:style w:type="paragraph" w:customStyle="1" w:styleId="2AC2AF52EA304E488EC998D4498DA3F5">
    <w:name w:val="2AC2AF52EA304E488EC998D4498DA3F5"/>
    <w:rsid w:val="004866EA"/>
    <w:pPr>
      <w:bidi/>
      <w:spacing w:after="160" w:line="259" w:lineRule="auto"/>
    </w:pPr>
  </w:style>
  <w:style w:type="paragraph" w:customStyle="1" w:styleId="EE9EBA10B9754907ADDEEF66A6C58E4B">
    <w:name w:val="EE9EBA10B9754907ADDEEF66A6C58E4B"/>
    <w:rsid w:val="004866EA"/>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80027601</CaseID>
    <CaseJudicialPersonPresentationDS>
      <CaseJudicalPersonActive>
        <CaseID>80027601</CaseID>
        <MotionID>109523248</MotionID>
        <JudicialPersonID>035710987@GOV.IL</JudicialPersonID>
        <JudicialPersonTypeID>1</JudicialPersonTypeID>
        <JudicialTypeID>1</JudicialTypeID>
        <IsChairman>false</IsChairman>
        <TreatmentStartDate>2024-09-01T13:30:45.44+03:00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iesSelectionD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נאוה הרשקוביץ-סרף</FullName>
        <FirstName>נאוה</FirstName>
        <LastName>הרשקוביץ-סרף</LastName>
        <PartyPropertyName/>
        <AuthenticationTypeAndNumber>מ.ר. 20154</AuthenticationTypeAndNumber>
        <RepresentatedOrRepresentativesNames>רחל דבורה צרפתי</RepresentatedOrRepresentativesNames>
        <RepresentatedOrRepresentativesCount>1</RepresentatedOrRepresentativesCount>
        <InvitedBy/>
        <CaseID>80027601</CaseID>
        <CaseJudicialPersonPresentationDS>
          <CaseJudicalPersonActive>
            <CaseID>80027601</CaseID>
            <MotionID>109523248</MotionID>
            <JudicialPersonID>035710987@GOV.IL</JudicialPersonID>
            <JudicialPersonTypeID>1</JudicialPersonTypeID>
            <JudicialTypeID>1</JudicialTypeID>
            <IsChairman>false</IsChairman>
            <TreatmentStartDate>2024-09-01T13:30:45.44+03:00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252448854</CasePartyID>
        <PartyTypeID>2</PartyTypeID>
        <ActivityStatusID>1</ActivityStatusID>
        <PartyAliasID>21</PartyAliasID>
        <PartyAliasName>בא כוח נתבעים</PartyAliasName>
        <LegalEntityID>385125</LegalEntityID>
        <CaseLegalEntityID>123355167</CaseLegalEntityID>
        <AuthenticationTypeID>4</AuthenticationTypeID>
        <AuthenticationTypeName>מ.ר.</AuthenticationTypeName>
        <LegalEntityNumber>20154</LegalEntityNumber>
        <IsMainPartyType>true</IsMainPartyType>
        <CaseDisplayIdentifier>50077-02-23</CaseDisplayIdentifier>
        <CaseTypeID>86</CaseTypeID>
        <CaseTypeName>תיק עזבונות (ת"ע)</CaseTypeName>
        <CaseName>צרפתי ואח' נ' צרפתי ואח'</CaseName>
        <FullAddress>פל-ים 2 חיפה חלונות הסיטי, בנין אשל קומה 6</FullAddress>
        <EmailAddress>navadv48@outlook.co.il</EmailAddress>
        <MotionID>0</MotionID>
        <CasePleaID>0</CasePleaID>
        <LinkedCaseID>0</LinkedCaseID>
        <PartyID>2</PartyID>
        <CasePartyCategoryID>2</CasePartyCategoryID>
        <LegalEntityAddressID>82434196</LegalEntityAddressID>
        <LegalEntityEmailAddressID>67902008</LegalEntityEmailAddressID>
        <PleaTypeID>253</PleaTypeID>
        <LawyerOfficeName>משרד עו"ד: נאוה הרשקוביץ-סרף</LawyerOfficeName>
        <LawyerOfficeID>425769</LawyerOfficeID>
        <GroupPartyAlias/>
        <IsConverted>false</IsConverted>
        <LegalEntityNameID>6109</LegalEntityNameID>
        <RepresentatedNamesOfAssistant/>
        <LegalEntityTypeID>4</LegalEntityTypeID>
        <IsVerdictExists>false</IsVerdictExists>
        <IsAsirAzir>false</IsAsirAzir>
        <MainAndSecSpec/>
        <IsPublicationProhibited>false</IsPublicationProhibited>
        <PublicationProhibitedFullName>נאוה הרשקוביץ-סרף</PublicationProhibitedFullName>
      </CaseParties>
      <CaseParties>
        <PartyTypeName>מסייע</PartyTypeName>
        <ProceedingType>כתב טענות עיקרי</ProceedingType>
        <PleaName>כתב התנגדות בעזבונות</PleaName>
        <PartyBelonging> - </PartyBelonging>
        <RoleName>מגשר מהו"ת</RoleName>
        <IsSubProceeding>FALSE</IsSubProceeding>
        <FullName>רוני חן סטינגר</FullName>
        <FirstName>רוני</FirstName>
        <LastName>חן סטינגר</LastName>
        <PartyPropertyName/>
        <AuthenticationTypeAndNumber>ת"ז 028576080</AuthenticationTypeAndNumber>
        <RepresentatedOrRepresentativesNames/>
        <RepresentatedOrRepresentativesCount>0</RepresentatedOrRepresentativesCount>
        <InvitedBy/>
        <CaseID>80027601</CaseID>
        <CaseJudicialPersonPresentationDS>
          <CaseJudicalPersonActive>
            <CaseID>80027601</CaseID>
            <MotionID>109523248</MotionID>
            <JudicialPersonID>035710987@GOV.IL</JudicialPersonID>
            <JudicialPersonTypeID>1</JudicialPersonTypeID>
            <JudicialTypeID>1</JudicialTypeID>
            <IsChairman>false</IsChairman>
            <TreatmentStartDate>2024-09-01T13:30:45.44+03:00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253529767</CasePartyID>
        <PartyTypeID>3</PartyTypeID>
        <ActivityStatusID>1</ActivityStatusID>
        <LegalEntityID>79451888</LegalEntityID>
        <CaseLegalEntityID>123683647</CaseLegalEntityID>
        <AssistantRoleID>103</AssistantRoleID>
        <AuthenticationTypeID>1</AuthenticationTypeID>
        <AuthenticationTypeName>ת"ז</AuthenticationTypeName>
        <LegalEntityNumber>028576080</LegalEntityNumber>
        <IsMainPartyType>true</IsMainPartyType>
        <CaseDisplayIdentifier>50077-02-23</CaseDisplayIdentifier>
        <CaseTypeID>86</CaseTypeID>
        <CaseTypeName>תיק עזבונות (ת"ע)</CaseTypeName>
        <CaseName>צרפתי ואח' נ' צרפתי ואח'</CaseName>
        <FullAddress>שדרות הנשיא 134 מרכז האודיטוריום בניין A חיפה </FullAddress>
        <EmailAddress>office@ronnyncs.com</EmailAddress>
        <MotionID>0</MotionID>
        <CasePleaID>0</CasePleaID>
        <LinkedCaseID>0</LinkedCaseID>
        <PartyID>1</PartyID>
        <CasePartyCategoryID>2</CasePartyCategoryID>
        <LegalEntityAddressID>86974372</LegalEntityAddressID>
        <LegalEntityEmailAddressID>68350017</LegalEntityEmailAddressID>
        <PleaTypeID>253</PleaTypeID>
        <GroupPartyAlias/>
        <IsConverted>false</IsConverted>
        <LegalEntityNameID>90701343</LegalEntityNameID>
        <RepresentatedNamesOfAssistant/>
        <LegalEntityTypeID>11</LegalEntityTypeID>
        <IsVerdictExists>false</IsVerdictExists>
        <IsAsirAzir>false</IsAsirAzir>
        <MainAndSecSpec/>
        <IsPublicationProhibited>false</IsPublicationProhibited>
        <PublicationProhibitedFullName>רוני חן סטינגר</PublicationProhibitedFullName>
      </CaseParties>
      <CaseParties>
        <PartyTypeName>צד</PartyTypeName>
        <ProceedingType>בקשות</ProceedingType>
        <PleaName>בקשה של תובע 4 בקשה למזכירות</PleaName>
        <PartyBelonging>צד א'</PartyBelonging>
        <RoleName>מבקש 1</RoleName>
        <IsSubProceeding>TRUE</IsSubProceeding>
        <FullName>אריאלה גוטהרץ</FullName>
        <FirstName>אריאלה</FirstName>
        <LastName>גוטהרץ</LastName>
        <PartyPropertyName/>
        <AuthenticationTypeAndNumber>ת"ז 025691007</AuthenticationTypeAndNumber>
        <RepresentatedOrRepresentativesNames>איילת לוי</RepresentatedOrRepresentativesNames>
        <RepresentatedOrRepresentativesCount>1</RepresentatedOrRepresentativesCount>
        <InvitedBy/>
        <CaseID>80027601</CaseID>
        <CaseJudicialPersonPresentationDS>
          <CaseJudicalPersonActive>
            <CaseID>80027601</CaseID>
            <MotionID>109523248</MotionID>
            <JudicialPersonID>035710987@GOV.IL</JudicialPersonID>
            <JudicialPersonTypeID>1</JudicialPersonTypeID>
            <JudicialTypeID>1</JudicialTypeID>
            <IsChairman>false</IsChairman>
            <TreatmentStartDate>2024-09-01T13:30:45.44+03:00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276865331</CasePartyID>
        <PartyTypeID>1</PartyTypeID>
        <ActivityStatusID>1</ActivityStatusID>
        <PartyAliasID>3</PartyAliasID>
        <PartyAliasName>מבקש</PartyAliasName>
        <OrdinalNumber>1</OrdinalNumber>
        <LegalEntityID>8537511</LegalEntityID>
        <CaseLegalEntityID>124626089</CaseLegalEntityID>
        <AuthenticationTypeID>1</AuthenticationTypeID>
        <AuthenticationTypeName>ת"ז</AuthenticationTypeName>
        <LegalEntityNumber>025691007</LegalEntityNumber>
        <IsMainPartyType>false</IsMainPartyType>
        <CaseDisplayIdentifier>50077-02-23</CaseDisplayIdentifier>
        <CaseTypeID>86</CaseTypeID>
        <CaseTypeName>תיק עזבונות (ת"ע)</CaseTypeName>
        <CaseName>צרפתי ואח' נ' צרפתי ואח'</CaseName>
        <FullAddress/>
        <MotionID>109523248</MotionID>
        <CasePleaID>0</CasePleaID>
        <FatherName>רפאל</FatherName>
        <LinkedCaseID>0</LinkedCaseID>
        <PartyID>1</PartyID>
        <CasePartyCategoryID>4</CasePartyCategoryID>
        <PleaTypeID>60</PleaTypeID>
        <GroupPartyAlias>מבקשים</GroupPartyAlias>
        <IsConverted>false</IsConverted>
        <LegalEntityRegisteredNameID>1786623</LegalEntityRegisteredNameID>
        <LegalEntityNameID>94967694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אריאלה גוטהרץ</PublicationProhibitedFullName>
      </CaseParties>
      <CaseParties>
        <PartyTypeName>צד</PartyTypeName>
        <ProceedingType>בקשות</ProceedingType>
        <PleaName>בקשה של תובע 4 בקשה למזכירות</PleaName>
        <PartyBelonging>צד ב'</PartyBelonging>
        <RoleName>משיב 1</RoleName>
        <IsSubProceeding>TRUE</IsSubProceeding>
        <FullName>רפאל צרפתי (המנוח)</FullName>
        <FirstName>רפאל</FirstName>
        <LastName>צרפתי</LastName>
        <PartyPropertyID>12</PartyPropertyID>
        <PartyPropertyName/>
        <AuthenticationTypeAndNumber>ת"ז 064179948</AuthenticationTypeAndNumber>
        <RepresentatedOrRepresentativesNames/>
        <RepresentatedOrRepresentativesCount>0</RepresentatedOrRepresentativesCount>
        <InvitedBy/>
        <CaseID>80027601</CaseID>
        <CaseJudicialPersonPresentationDS>
          <CaseJudicalPersonActive>
            <CaseID>80027601</CaseID>
            <MotionID>109523248</MotionID>
            <JudicialPersonID>035710987@GOV.IL</JudicialPersonID>
            <JudicialPersonTypeID>1</JudicialPersonTypeID>
            <JudicialTypeID>1</JudicialTypeID>
            <IsChairman>false</IsChairman>
            <TreatmentStartDate>2024-09-01T13:30:45.44+03:00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276865335</CasePartyID>
        <PartyTypeID>1</PartyTypeID>
        <ActivityStatusID>1</ActivityStatusID>
        <PartyAliasID>4</PartyAliasID>
        <PartyAliasName>משיב</PartyAliasName>
        <OrdinalNumber>1</OrdinalNumber>
        <LegalEntityID>6213371</LegalEntityID>
        <CaseLegalEntityID>123355064</CaseLegalEntityID>
        <AuthenticationTypeID>1</AuthenticationTypeID>
        <AuthenticationTypeName>ת"ז</AuthenticationTypeName>
        <LegalEntityNumber>064179948</LegalEntityNumber>
        <IsMainPartyType>false</IsMainPartyType>
        <CaseDisplayIdentifier>50077-02-23</CaseDisplayIdentifier>
        <CaseTypeID>86</CaseTypeID>
        <CaseTypeName>תיק עזבונות (ת"ע)</CaseTypeName>
        <CaseName>צרפתי ואח' נ' צרפתי ואח'</CaseName>
        <FullAddress/>
        <MotionID>109523248</MotionID>
        <CasePleaID>0</CasePleaID>
        <FatherName>דוד</FatherName>
        <LinkedCaseID>0</LinkedCaseID>
        <PartyID>2</PartyID>
        <CasePartyCategoryID>4</CasePartyCategoryID>
        <DrivingLicenseNumber>805958</DrivingLicenseNumber>
        <PleaTypeID>60</PleaTypeID>
        <GroupPartyAlias>משיבים</GroupPartyAlias>
        <IsConverted>false</IsConverted>
        <LegalEntityRegisteredNameID>461125</LegalEntityRegisteredNameID>
        <LegalEntityNameID>94482939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רפאל צרפתי (המנוח)</PublicationProhibitedFullName>
      </CasePartie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איילת לוי</FullName>
        <FirstName>איילת</FirstName>
        <LastName>לוי</LastName>
        <PartyPropertyName/>
        <AuthenticationTypeAndNumber>מ.ר. 87923</AuthenticationTypeAndNumber>
        <RepresentatedOrRepresentativesNames>אריאלה גוטהרץ, בלה צרפתי, דוד צרפתי, קובי צרפתי</RepresentatedOrRepresentativesNames>
        <RepresentatedOrRepresentativesCount>4</RepresentatedOrRepresentativesCount>
        <InvitedBy/>
        <CaseID>80027601</CaseID>
        <CaseJudicialPersonPresentationDS>
          <CaseJudicalPersonActive>
            <CaseID>80027601</CaseID>
            <MotionID>109523248</MotionID>
            <JudicialPersonID>035710987@GOV.IL</JudicialPersonID>
            <JudicialPersonTypeID>1</JudicialPersonTypeID>
            <JudicialTypeID>1</JudicialTypeID>
            <IsChairman>false</IsChairman>
            <TreatmentStartDate>2024-09-01T13:30:45.44+03:00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252276815</CasePartyID>
        <PartyTypeID>2</PartyTypeID>
        <ActivityStatusID>1</ActivityStatusID>
        <PartyAliasID>20</PartyAliasID>
        <PartyAliasName>בא כוח תובעים</PartyAliasName>
        <OrdinalNumber>1</OrdinalNumber>
        <LegalEntityID>79309742</LegalEntityID>
        <CaseLegalEntityID>123298803</CaseLegalEntityID>
        <AuthenticationTypeID>4</AuthenticationTypeID>
        <AuthenticationTypeName>מ.ר.</AuthenticationTypeName>
        <LegalEntityNumber>87923</LegalEntityNumber>
        <IsMainPartyType>true</IsMainPartyType>
        <CaseDisplayIdentifier>50077-02-23</CaseDisplayIdentifier>
        <CaseTypeID>86</CaseTypeID>
        <CaseTypeName>תיק עזבונות (ת"ע)</CaseTypeName>
        <CaseName>צרפתי ואח' נ' צרפתי ואח'</CaseName>
        <FullAddress>ניסנבוים 4 חיפה </FullAddress>
        <MotionID>0</MotionID>
        <CasePleaID>0</CasePleaID>
        <LinkedCaseID>0</LinkedCaseID>
        <PartyID>1</PartyID>
        <CasePartyCategoryID>2</CasePartyCategoryID>
        <LegalEntityAddressID>84454253</LegalEntityAddressID>
        <PleaTypeID>253</PleaTypeID>
        <LawyerOfficeName>משרד עו"ד איילת לוי</LawyerOfficeName>
        <LawyerOfficeID>79309743</LawyerOfficeID>
        <GroupPartyAlias/>
        <IsConverted>false</IsConverted>
        <LegalEntityNameID>90384511</LegalEntityNameID>
        <RepresentatedNamesOfAssistant/>
        <LegalEntityTypeID>4</LegalEntityTypeID>
        <IsVerdictExists>false</IsVerdictExists>
        <IsAsirAzir>false</IsAsirAzir>
        <MainAndSecSpec/>
        <IsPublicationProhibited>false</IsPublicationProhibited>
        <PublicationProhibitedFullName>איילת לוי</PublicationProhibitedFullName>
      </CaseParties>
      <CaseParties>
        <PartyTypeName>צד</PartyTypeName>
        <ProceedingType>בקשות</ProceedingType>
        <PleaName>בקשה של תובע 4 בקשה למזכירות</PleaName>
        <PartyBelonging>צד א'</PartyBelonging>
        <RoleName>מבקש 2</RoleName>
        <IsSubProceeding>TRUE</IsSubProceeding>
        <FullName>בלה צרפתי</FullName>
        <FirstName>בלה</FirstName>
        <LastName>צרפתי</LastName>
        <PartyPropertyName/>
        <AuthenticationTypeAndNumber>ת"ז 029730017</AuthenticationTypeAndNumber>
        <RepresentatedOrRepresentativesNames>איילת לוי</RepresentatedOrRepresentativesNames>
        <RepresentatedOrRepresentativesCount>1</RepresentatedOrRepresentativesCount>
        <InvitedBy/>
        <CaseID>80027601</CaseID>
        <CaseJudicialPersonPresentationDS>
          <CaseJudicalPersonActive>
            <CaseID>80027601</CaseID>
            <MotionID>109523248</MotionID>
            <JudicialPersonID>035710987@GOV.IL</JudicialPersonID>
            <JudicialPersonTypeID>1</JudicialPersonTypeID>
            <JudicialTypeID>1</JudicialTypeID>
            <IsChairman>false</IsChairman>
            <TreatmentStartDate>2024-09-01T13:30:45.44+03:00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276865332</CasePartyID>
        <PartyTypeID>1</PartyTypeID>
        <ActivityStatusID>1</ActivityStatusID>
        <PartyAliasID>3</PartyAliasID>
        <PartyAliasName>מבקש</PartyAliasName>
        <OrdinalNumber>2</OrdinalNumber>
        <LegalEntityID>6147052</LegalEntityID>
        <CaseLegalEntityID>124625971</CaseLegalEntityID>
        <AuthenticationTypeID>1</AuthenticationTypeID>
        <AuthenticationTypeName>ת"ז</AuthenticationTypeName>
        <LegalEntityNumber>029730017</LegalEntityNumber>
        <IsMainPartyType>false</IsMainPartyType>
        <CaseDisplayIdentifier>50077-02-23</CaseDisplayIdentifier>
        <CaseTypeID>86</CaseTypeID>
        <CaseTypeName>תיק עזבונות (ת"ע)</CaseTypeName>
        <CaseName>צרפתי ואח' נ' צרפתי ואח'</CaseName>
        <FullAddress/>
        <MotionID>109523248</MotionID>
        <CasePleaID>0</CasePleaID>
        <FatherName>רפאל</FatherName>
        <LinkedCaseID>0</LinkedCaseID>
        <PartyID>1</PartyID>
        <CasePartyCategoryID>4</CasePartyCategoryID>
        <PleaTypeID>60</PleaTypeID>
        <GroupPartyAlias>מבקשים</GroupPartyAlias>
        <IsConverted>false</IsConverted>
        <LegalEntityRegisteredNameID>8669696</LegalEntityRegisteredNameID>
        <LegalEntityNameID>94967651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בלה צרפתי</PublicationProhibitedFullName>
      </CaseParties>
      <CaseParties>
        <PartyTypeName>צד</PartyTypeName>
        <ProceedingType>בקשות</ProceedingType>
        <PleaName>בקשה של תובע 4 בקשה למזכירות</PleaName>
        <PartyBelonging>צד ב'</PartyBelonging>
        <RoleName>משיב 2</RoleName>
        <IsSubProceeding>TRUE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80027601</CaseID>
        <CaseJudicialPersonPresentationDS>
          <CaseJudicalPersonActive>
            <CaseID>80027601</CaseID>
            <MotionID>109523248</MotionID>
            <JudicialPersonID>035710987@GOV.IL</JudicialPersonID>
            <JudicialPersonTypeID>1</JudicialPersonTypeID>
            <JudicialTypeID>1</JudicialTypeID>
            <IsChairman>false</IsChairman>
            <TreatmentStartDate>2024-09-01T13:30:45.44+03:00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276865336</CasePartyID>
        <PartyTypeID>1</PartyTypeID>
        <ActivityStatusID>1</ActivityStatusID>
        <PartyAliasID>4</PartyAliasID>
        <PartyAliasName>משיב</PartyAliasName>
        <OrdinalNumber>2</OrdinalNumber>
        <LegalEntityID>15841402</LegalEntityID>
        <CaseLegalEntityID>123298804</CaseLegalEntityID>
        <AuthenticationTypeID>13</AuthenticationTypeID>
        <AuthenticationTypeName>משרדי ממשלה</AuthenticationTypeName>
        <LegalEntityNumber>570000605</LegalEntityNumber>
        <IsMainPartyType>false</IsMainPartyType>
        <CaseDisplayIdentifier>50077-02-23</CaseDisplayIdentifier>
        <CaseTypeID>86</CaseTypeID>
        <CaseTypeName>תיק עזבונות (ת"ע)</CaseTypeName>
        <CaseName>צרפתי ואח' נ' צרפתי ואח'</CaseName>
        <FullAddress>פל ים 15 א' חיפה משרד המשפטים</FullAddress>
        <EmailAddress>MAZKIRUT-APAC-HF@JUSTICE.GOV.IL</EmailAddress>
        <MotionID>109523248</MotionID>
        <CasePleaID>0</CasePleaID>
        <LinkedCaseID>0</LinkedCaseID>
        <PartyID>2</PartyID>
        <CasePartyCategoryID>4</CasePartyCategoryID>
        <LegalEntityAddressID>73651471</LegalEntityAddressID>
        <LegalEntityEmailAddressID>67833888</LegalEntityEmailAddressID>
        <PleaTypeID>60</PleaTypeID>
        <GroupPartyAlias>משיבים</GroupPartyAlias>
        <IsConverted>false</IsConverted>
        <LegalEntityRegisteredNameID>1928536</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מחוז חיפה והצפון</PublicationProhibitedFullName>
      </CaseParties>
      <CaseParties>
        <PartyTypeName>צד</PartyTypeName>
        <ProceedingType>בקשות</ProceedingType>
        <PleaName>בקשה של תובע 4 בקשה למזכירות</PleaName>
        <PartyBelonging>צד א'</PartyBelonging>
        <RoleName>מבקש 3</RoleName>
        <IsSubProceeding>TRUE</IsSubProceeding>
        <FullName>קובי צרפתי</FullName>
        <FirstName>קובי</FirstName>
        <LastName>צרפתי</LastName>
        <PartyPropertyName/>
        <AuthenticationTypeAndNumber>ת"ז 023016157</AuthenticationTypeAndNumber>
        <RepresentatedOrRepresentativesNames>איילת לוי</RepresentatedOrRepresentativesNames>
        <RepresentatedOrRepresentativesCount>1</RepresentatedOrRepresentativesCount>
        <InvitedBy/>
        <CaseID>80027601</CaseID>
        <CaseJudicialPersonPresentationDS>
          <CaseJudicalPersonActive>
            <CaseID>80027601</CaseID>
            <MotionID>109523248</MotionID>
            <JudicialPersonID>035710987@GOV.IL</JudicialPersonID>
            <JudicialPersonTypeID>1</JudicialPersonTypeID>
            <JudicialTypeID>1</JudicialTypeID>
            <IsChairman>false</IsChairman>
            <TreatmentStartDate>2024-09-01T13:30:45.44+03:00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276865333</CasePartyID>
        <PartyTypeID>1</PartyTypeID>
        <ActivityStatusID>1</ActivityStatusID>
        <PartyAliasID>3</PartyAliasID>
        <PartyAliasName>מבקש</PartyAliasName>
        <OrdinalNumber>3</OrdinalNumber>
        <LegalEntityID>16581368</LegalEntityID>
        <CaseLegalEntityID>123298802</CaseLegalEntityID>
        <AuthenticationTypeID>1</AuthenticationTypeID>
        <AuthenticationTypeName>ת"ז</AuthenticationTypeName>
        <LegalEntityNumber>023016157</LegalEntityNumber>
        <IsMainPartyType>false</IsMainPartyType>
        <CaseDisplayIdentifier>50077-02-23</CaseDisplayIdentifier>
        <CaseTypeID>86</CaseTypeID>
        <CaseTypeName>תיק עזבונות (ת"ע)</CaseTypeName>
        <CaseName>צרפתי ואח' נ' צרפתי ואח'</CaseName>
        <FullAddress>הבנקים 7 חיפה </FullAddress>
        <MotionID>109523248</MotionID>
        <CasePleaID>0</CasePleaID>
        <FatherName>רפאל</FatherName>
        <LinkedCaseID>0</LinkedCaseID>
        <PartyID>1</PartyID>
        <CasePartyCategoryID>4</CasePartyCategoryID>
        <LegalEntityAddressID>87592574</LegalEntityAddressID>
        <FictitiousPoliceNumber/>
        <PleaTypeID>60</PleaTypeID>
        <GroupPartyAlias>מבקשים</GroupPartyAlias>
        <IsConverted>false</IsConverted>
        <LegalEntityRegisteredNameID>5912713</LegalEntityRegisteredNameID>
        <LegalEntityNameID>94461591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קובי צרפתי</PublicationProhibitedFullName>
      </CaseParties>
      <CaseParties>
        <PartyTypeName>צד</PartyTypeName>
        <ProceedingType>בקשות</ProceedingType>
        <PleaName>בקשה של תובע 4 בקשה למזכירות</PleaName>
        <PartyBelonging>צד ב'</PartyBelonging>
        <RoleName>משיב 3</RoleName>
        <IsSubProceeding>TRUE</IsSubProceeding>
        <FullName>רחל דבורה צרפתי</FullName>
        <FirstName>רחל דבורה</FirstName>
        <LastName>צרפתי</LastName>
        <PartyPropertyName/>
        <AuthenticationTypeAndNumber>ת"ז 005453444</AuthenticationTypeAndNumber>
        <RepresentatedOrRepresentativesNames>נאוה הרשקוביץ-סרף</RepresentatedOrRepresentativesNames>
        <RepresentatedOrRepresentativesCount>1</RepresentatedOrRepresentativesCount>
        <InvitedBy/>
        <CaseID>80027601</CaseID>
        <CaseJudicialPersonPresentationDS>
          <CaseJudicalPersonActive>
            <CaseID>80027601</CaseID>
            <MotionID>109523248</MotionID>
            <JudicialPersonID>035710987@GOV.IL</JudicialPersonID>
            <JudicialPersonTypeID>1</JudicialPersonTypeID>
            <JudicialTypeID>1</JudicialTypeID>
            <IsChairman>false</IsChairman>
            <TreatmentStartDate>2024-09-01T13:30:45.44+03:00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276865337</CasePartyID>
        <PartyTypeID>1</PartyTypeID>
        <ActivityStatusID>1</ActivityStatusID>
        <PartyAliasID>4</PartyAliasID>
        <PartyAliasName>משיב</PartyAliasName>
        <OrdinalNumber>3</OrdinalNumber>
        <LegalEntityID>72124816</LegalEntityID>
        <CaseLegalEntityID>123355146</CaseLegalEntityID>
        <AuthenticationTypeID>1</AuthenticationTypeID>
        <AuthenticationTypeName>ת"ז</AuthenticationTypeName>
        <LegalEntityNumber>005453444</LegalEntityNumber>
        <IsMainPartyType>false</IsMainPartyType>
        <CaseDisplayIdentifier>50077-02-23</CaseDisplayIdentifier>
        <CaseTypeID>86</CaseTypeID>
        <CaseTypeName>תיק עזבונות (ת"ע)</CaseTypeName>
        <CaseName>צרפתי ואח' נ' צרפתי ואח'</CaseName>
        <FullAddress/>
        <MotionID>109523248</MotionID>
        <CasePleaID>0</CasePleaID>
        <BirthDate>1947-03-13T00:00:00+02:00</BirthDate>
        <FatherName>יצחק    </FatherName>
        <LinkedCaseID>0</LinkedCaseID>
        <PartyID>2</PartyID>
        <CasePartyCategoryID>4</CasePartyCategoryID>
        <PleaTypeID>60</PleaTypeID>
        <GroupPartyAlias>משיבים</GroupPartyAlias>
        <IsConverted>false</IsConverted>
        <LegalEntityRegisteredNameID>3621466</LegalEntityRegisteredNameID>
        <LegalEntityNameID>94482965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רחל דבורה צרפתי</PublicationProhibitedFullName>
      </CaseParties>
      <CaseParties>
        <PartyTypeName>צד</PartyTypeName>
        <ProceedingType>בקשות</ProceedingType>
        <PleaName>בקשה של תובע 4 בקשה למזכירות</PleaName>
        <PartyBelonging>צד א'</PartyBelonging>
        <RoleName>מבקש 4</RoleName>
        <IsSubProceeding>TRUE</IsSubProceeding>
        <FullName>דוד צרפתי</FullName>
        <FirstName>דוד</FirstName>
        <LastName>צרפתי</LastName>
        <PartyPropertyName/>
        <AuthenticationTypeAndNumber>ת"ז 059648949</AuthenticationTypeAndNumber>
        <RepresentatedOrRepresentativesNames>איילת לוי</RepresentatedOrRepresentativesNames>
        <RepresentatedOrRepresentativesCount>1</RepresentatedOrRepresentativesCount>
        <InvitedBy/>
        <CaseID>80027601</CaseID>
        <CaseJudicialPersonPresentationDS>
          <CaseJudicalPersonActive>
            <CaseID>80027601</CaseID>
            <MotionID>109523248</MotionID>
            <JudicialPersonID>035710987@GOV.IL</JudicialPersonID>
            <JudicialPersonTypeID>1</JudicialPersonTypeID>
            <JudicialTypeID>1</JudicialTypeID>
            <IsChairman>false</IsChairman>
            <TreatmentStartDate>2024-09-01T13:30:45.44+03:00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276865334</CasePartyID>
        <PartyTypeID>1</PartyTypeID>
        <ActivityStatusID>1</ActivityStatusID>
        <PartyAliasID>3</PartyAliasID>
        <PartyAliasName>מבקש</PartyAliasName>
        <OrdinalNumber>4</OrdinalNumber>
        <LegalEntityID>6209173</LegalEntityID>
        <CaseLegalEntityID>124625922</CaseLegalEntityID>
        <AuthenticationTypeID>1</AuthenticationTypeID>
        <AuthenticationTypeName>ת"ז</AuthenticationTypeName>
        <LegalEntityNumber>059648949</LegalEntityNumber>
        <IsMainPartyType>false</IsMainPartyType>
        <CaseDisplayIdentifier>50077-02-23</CaseDisplayIdentifier>
        <CaseTypeID>86</CaseTypeID>
        <CaseTypeName>תיק עזבונות (ת"ע)</CaseTypeName>
        <CaseName>צרפתי ואח' נ' צרפתי ואח'</CaseName>
        <FullAddress>רזיאל דוד 29 חיפה </FullAddress>
        <MotionID>109523248</MotionID>
        <CasePleaID>0</CasePleaID>
        <FatherName>רפאל</FatherName>
        <LinkedCaseID>0</LinkedCaseID>
        <PartyID>1</PartyID>
        <CasePartyCategoryID>4</CasePartyCategoryID>
        <LegalEntityAddressID>88808267</LegalEntityAddressID>
        <GrandfatherName/>
        <DrivingLicenseNumber>6034076</DrivingLicenseNumber>
        <PleaTypeID>60</PleaTypeID>
        <GroupPartyAlias>מבקשים</GroupPartyAlias>
        <IsConverted>false</IsConverted>
        <LegalEntityRegisteredNameID>1933859</LegalEntityRegisteredNameID>
        <LegalEntityNameID>94967633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דוד צרפתי</PublicationProhibitedFullName>
      </CaseParties>
    </CasePartiesSelectionDS>
    <DecisionName>החלטה</DecisionName>
    <CourtDisplayName>בית משפט לענייני משפחה בחיפה</CourtDisplayName>
    <IsCaseJudgePanel>false</IsCaseJudgePanel>
    <DecisionSignatureDate>2024-09-09T11:08:43.0489855+03:00</DecisionSignatureDate>
    <OpenCaseDate>2023-02-21T07:23:00+02:00</OpenCaseDate>
    <CaseFeeSum>0.000</CaseFeeSum>
    <ExternalCaseNumber>131806_4</ExternalCaseNumber>
    <DecisionTypeID>1</DecisionTypeID>
    <DecisionSignatureUserName>אלה פטל</DecisionSignatureUserName>
    <MotionID>109523248</MotionID>
    <DecisionSignatureDateHebrew>2024-09-09T11:08:43.0489855+03:00</DecisionSignatureDateHebrew>
    <MotionNumber>27</MotionNumber>
    <DecisionWriterID>035710987@GOV.IL</DecisionWriterID>
    <CourtAddress>רח' פלי"ם 12 היכל המשפט, חיפה 33095</CourtAddress>
    <IsAutoTextInCaseExist>false</IsAutoTextInCaseExist>
    <DecisionSignatureRoleName>שופט</DecisionSignatureRoleName>
    <DecisionSignatureUserTitleName>שופטת</DecisionSignatureUserTitleName>
    <CaseName>צרפתי ואח' נ' צרפתי ואח'</CaseName>
    <DecisionNumberInCase>52</DecisionNumberInCase>
  </dt_Decision>
  <dt_DecisionCase>
    <DecisionID>0</DecisionID>
    <CaseID>80027601</CaseID>
    <CaseJudicialPersonPresentationDS>
      <CaseJudicalPersonActive>
        <CaseID>80027601</CaseID>
        <MotionID>109523248</MotionID>
        <JudicialPersonID>035710987@GOV.IL</JudicialPersonID>
        <JudicialPersonTypeID>1</JudicialPersonTypeID>
        <JudicialTypeID>1</JudicialTypeID>
        <IsChairman>false</IsChairman>
        <TreatmentStartDate>2024-09-01T13:30:45.44+03:00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iesSelectionD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נאוה הרשקוביץ-סרף</FullName>
        <FirstName>נאוה</FirstName>
        <LastName>הרשקוביץ-סרף</LastName>
        <PartyPropertyName/>
        <AuthenticationTypeAndNumber>מ.ר. 20154</AuthenticationTypeAndNumber>
        <RepresentatedOrRepresentativesNames>רחל דבורה צרפתי</RepresentatedOrRepresentativesNames>
        <RepresentatedOrRepresentativesCount>1</RepresentatedOrRepresentativesCount>
        <InvitedBy/>
        <CaseID>80027601</CaseID>
        <CaseJudicialPersonPresentationDS>
          <CaseJudicalPersonActive>
            <CaseID>80027601</CaseID>
            <MotionID>109523248</MotionID>
            <JudicialPersonID>035710987@GOV.IL</JudicialPersonID>
            <JudicialPersonTypeID>1</JudicialPersonTypeID>
            <JudicialTypeID>1</JudicialTypeID>
            <IsChairman>false</IsChairman>
            <TreatmentStartDate>2024-09-01T13:30:45.44+03:00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252448854</CasePartyID>
        <PartyTypeID>2</PartyTypeID>
        <ActivityStatusID>1</ActivityStatusID>
        <PartyAliasID>21</PartyAliasID>
        <PartyAliasName>בא כוח נתבעים</PartyAliasName>
        <LegalEntityID>385125</LegalEntityID>
        <CaseLegalEntityID>123355167</CaseLegalEntityID>
        <AuthenticationTypeID>4</AuthenticationTypeID>
        <AuthenticationTypeName>מ.ר.</AuthenticationTypeName>
        <LegalEntityNumber>20154</LegalEntityNumber>
        <IsMainPartyType>true</IsMainPartyType>
        <CaseDisplayIdentifier>50077-02-23</CaseDisplayIdentifier>
        <CaseTypeID>86</CaseTypeID>
        <CaseTypeName>תיק עזבונות (ת"ע)</CaseTypeName>
        <CaseName>צרפתי ואח' נ' צרפתי ואח'</CaseName>
        <FullAddress>פל-ים 2 חיפה חלונות הסיטי, בנין אשל קומה 6</FullAddress>
        <EmailAddress>navadv48@outlook.co.il</EmailAddress>
        <MotionID>0</MotionID>
        <CasePleaID>0</CasePleaID>
        <LinkedCaseID>0</LinkedCaseID>
        <PartyID>2</PartyID>
        <CasePartyCategoryID>2</CasePartyCategoryID>
        <LegalEntityAddressID>82434196</LegalEntityAddressID>
        <LegalEntityEmailAddressID>67902008</LegalEntityEmailAddressID>
        <PleaTypeID>253</PleaTypeID>
        <LawyerOfficeName>משרד עו"ד: נאוה הרשקוביץ-סרף</LawyerOfficeName>
        <LawyerOfficeID>425769</LawyerOfficeID>
        <GroupPartyAlias/>
        <IsConverted>false</IsConverted>
        <LegalEntityNameID>6109</LegalEntityNameID>
        <RepresentatedNamesOfAssistant/>
        <LegalEntityTypeID>4</LegalEntityTypeID>
        <IsVerdictExists>false</IsVerdictExists>
        <IsAsirAzir>false</IsAsirAzir>
        <MainAndSecSpec/>
        <IsPublicationProhibited>false</IsPublicationProhibited>
        <PublicationProhibitedFullName>נאוה הרשקוביץ-סרף</PublicationProhibitedFullName>
      </CaseParties>
      <CaseParties>
        <PartyTypeName>מסייע</PartyTypeName>
        <ProceedingType>כתב טענות עיקרי</ProceedingType>
        <PleaName>כתב התנגדות בעזבונות</PleaName>
        <PartyBelonging> - </PartyBelonging>
        <RoleName>מגשר מהו"ת</RoleName>
        <IsSubProceeding>FALSE</IsSubProceeding>
        <FullName>רוני חן סטינגר</FullName>
        <FirstName>רוני</FirstName>
        <LastName>חן סטינגר</LastName>
        <PartyPropertyName/>
        <AuthenticationTypeAndNumber>ת"ז 028576080</AuthenticationTypeAndNumber>
        <RepresentatedOrRepresentativesNames/>
        <RepresentatedOrRepresentativesCount>0</RepresentatedOrRepresentativesCount>
        <InvitedBy/>
        <CaseID>80027601</CaseID>
        <CaseJudicialPersonPresentationDS>
          <CaseJudicalPersonActive>
            <CaseID>80027601</CaseID>
            <MotionID>109523248</MotionID>
            <JudicialPersonID>035710987@GOV.IL</JudicialPersonID>
            <JudicialPersonTypeID>1</JudicialPersonTypeID>
            <JudicialTypeID>1</JudicialTypeID>
            <IsChairman>false</IsChairman>
            <TreatmentStartDate>2024-09-01T13:30:45.44+03:00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253529767</CasePartyID>
        <PartyTypeID>3</PartyTypeID>
        <ActivityStatusID>1</ActivityStatusID>
        <LegalEntityID>79451888</LegalEntityID>
        <CaseLegalEntityID>123683647</CaseLegalEntityID>
        <AssistantRoleID>103</AssistantRoleID>
        <AuthenticationTypeID>1</AuthenticationTypeID>
        <AuthenticationTypeName>ת"ז</AuthenticationTypeName>
        <LegalEntityNumber>028576080</LegalEntityNumber>
        <IsMainPartyType>true</IsMainPartyType>
        <CaseDisplayIdentifier>50077-02-23</CaseDisplayIdentifier>
        <CaseTypeID>86</CaseTypeID>
        <CaseTypeName>תיק עזבונות (ת"ע)</CaseTypeName>
        <CaseName>צרפתי ואח' נ' צרפתי ואח'</CaseName>
        <FullAddress>שדרות הנשיא 134 מרכז האודיטוריום בניין A חיפה </FullAddress>
        <EmailAddress>office@ronnyncs.com</EmailAddress>
        <MotionID>0</MotionID>
        <CasePleaID>0</CasePleaID>
        <LinkedCaseID>0</LinkedCaseID>
        <PartyID>1</PartyID>
        <CasePartyCategoryID>2</CasePartyCategoryID>
        <LegalEntityAddressID>86974372</LegalEntityAddressID>
        <LegalEntityEmailAddressID>68350017</LegalEntityEmailAddressID>
        <PleaTypeID>253</PleaTypeID>
        <GroupPartyAlias/>
        <IsConverted>false</IsConverted>
        <LegalEntityNameID>90701343</LegalEntityNameID>
        <RepresentatedNamesOfAssistant/>
        <LegalEntityTypeID>11</LegalEntityTypeID>
        <IsVerdictExists>false</IsVerdictExists>
        <IsAsirAzir>false</IsAsirAzir>
        <MainAndSecSpec/>
        <IsPublicationProhibited>false</IsPublicationProhibited>
        <PublicationProhibitedFullName>רוני חן סטינגר</PublicationProhibitedFullName>
      </CaseParties>
      <CaseParties>
        <PartyTypeName>צד</PartyTypeName>
        <ProceedingType>בקשות</ProceedingType>
        <PleaName>בקשה של תובע 4 בקשה למזכירות</PleaName>
        <PartyBelonging>צד א'</PartyBelonging>
        <RoleName>מבקש 1</RoleName>
        <IsSubProceeding>TRUE</IsSubProceeding>
        <FullName>אריאלה גוטהרץ</FullName>
        <FirstName>אריאלה</FirstName>
        <LastName>גוטהרץ</LastName>
        <PartyPropertyName/>
        <AuthenticationTypeAndNumber>ת"ז 025691007</AuthenticationTypeAndNumber>
        <RepresentatedOrRepresentativesNames>איילת לוי</RepresentatedOrRepresentativesNames>
        <RepresentatedOrRepresentativesCount>1</RepresentatedOrRepresentativesCount>
        <InvitedBy/>
        <CaseID>80027601</CaseID>
        <CaseJudicialPersonPresentationDS>
          <CaseJudicalPersonActive>
            <CaseID>80027601</CaseID>
            <MotionID>109523248</MotionID>
            <JudicialPersonID>035710987@GOV.IL</JudicialPersonID>
            <JudicialPersonTypeID>1</JudicialPersonTypeID>
            <JudicialTypeID>1</JudicialTypeID>
            <IsChairman>false</IsChairman>
            <TreatmentStartDate>2024-09-01T13:30:45.44+03:00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276865331</CasePartyID>
        <PartyTypeID>1</PartyTypeID>
        <ActivityStatusID>1</ActivityStatusID>
        <PartyAliasID>3</PartyAliasID>
        <PartyAliasName>מבקש</PartyAliasName>
        <OrdinalNumber>1</OrdinalNumber>
        <LegalEntityID>8537511</LegalEntityID>
        <CaseLegalEntityID>124626089</CaseLegalEntityID>
        <AuthenticationTypeID>1</AuthenticationTypeID>
        <AuthenticationTypeName>ת"ז</AuthenticationTypeName>
        <LegalEntityNumber>025691007</LegalEntityNumber>
        <IsMainPartyType>false</IsMainPartyType>
        <CaseDisplayIdentifier>50077-02-23</CaseDisplayIdentifier>
        <CaseTypeID>86</CaseTypeID>
        <CaseTypeName>תיק עזבונות (ת"ע)</CaseTypeName>
        <CaseName>צרפתי ואח' נ' צרפתי ואח'</CaseName>
        <FullAddress/>
        <MotionID>109523248</MotionID>
        <CasePleaID>0</CasePleaID>
        <FatherName>רפאל</FatherName>
        <LinkedCaseID>0</LinkedCaseID>
        <PartyID>1</PartyID>
        <CasePartyCategoryID>4</CasePartyCategoryID>
        <PleaTypeID>60</PleaTypeID>
        <GroupPartyAlias>מבקשים</GroupPartyAlias>
        <IsConverted>false</IsConverted>
        <LegalEntityRegisteredNameID>1786623</LegalEntityRegisteredNameID>
        <LegalEntityNameID>94967694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אריאלה גוטהרץ</PublicationProhibitedFullName>
      </CaseParties>
      <CaseParties>
        <PartyTypeName>צד</PartyTypeName>
        <ProceedingType>בקשות</ProceedingType>
        <PleaName>בקשה של תובע 4 בקשה למזכירות</PleaName>
        <PartyBelonging>צד ב'</PartyBelonging>
        <RoleName>משיב 1</RoleName>
        <IsSubProceeding>TRUE</IsSubProceeding>
        <FullName>רפאל צרפתי (המנוח)</FullName>
        <FirstName>רפאל</FirstName>
        <LastName>צרפתי</LastName>
        <PartyPropertyID>12</PartyPropertyID>
        <PartyPropertyName/>
        <AuthenticationTypeAndNumber>ת"ז 064179948</AuthenticationTypeAndNumber>
        <RepresentatedOrRepresentativesNames/>
        <RepresentatedOrRepresentativesCount>0</RepresentatedOrRepresentativesCount>
        <InvitedBy/>
        <CaseID>80027601</CaseID>
        <CaseJudicialPersonPresentationDS>
          <CaseJudicalPersonActive>
            <CaseID>80027601</CaseID>
            <MotionID>109523248</MotionID>
            <JudicialPersonID>035710987@GOV.IL</JudicialPersonID>
            <JudicialPersonTypeID>1</JudicialPersonTypeID>
            <JudicialTypeID>1</JudicialTypeID>
            <IsChairman>false</IsChairman>
            <TreatmentStartDate>2024-09-01T13:30:45.44+03:00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276865335</CasePartyID>
        <PartyTypeID>1</PartyTypeID>
        <ActivityStatusID>1</ActivityStatusID>
        <PartyAliasID>4</PartyAliasID>
        <PartyAliasName>משיב</PartyAliasName>
        <OrdinalNumber>1</OrdinalNumber>
        <LegalEntityID>6213371</LegalEntityID>
        <CaseLegalEntityID>123355064</CaseLegalEntityID>
        <AuthenticationTypeID>1</AuthenticationTypeID>
        <AuthenticationTypeName>ת"ז</AuthenticationTypeName>
        <LegalEntityNumber>064179948</LegalEntityNumber>
        <IsMainPartyType>false</IsMainPartyType>
        <CaseDisplayIdentifier>50077-02-23</CaseDisplayIdentifier>
        <CaseTypeID>86</CaseTypeID>
        <CaseTypeName>תיק עזבונות (ת"ע)</CaseTypeName>
        <CaseName>צרפתי ואח' נ' צרפתי ואח'</CaseName>
        <FullAddress/>
        <MotionID>109523248</MotionID>
        <CasePleaID>0</CasePleaID>
        <FatherName>דוד</FatherName>
        <LinkedCaseID>0</LinkedCaseID>
        <PartyID>2</PartyID>
        <CasePartyCategoryID>4</CasePartyCategoryID>
        <DrivingLicenseNumber>805958</DrivingLicenseNumber>
        <PleaTypeID>60</PleaTypeID>
        <GroupPartyAlias>משיבים</GroupPartyAlias>
        <IsConverted>false</IsConverted>
        <LegalEntityRegisteredNameID>461125</LegalEntityRegisteredNameID>
        <LegalEntityNameID>94482939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רפאל צרפתי (המנוח)</PublicationProhibitedFullName>
      </CasePartie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איילת לוי</FullName>
        <FirstName>איילת</FirstName>
        <LastName>לוי</LastName>
        <PartyPropertyName/>
        <AuthenticationTypeAndNumber>מ.ר. 87923</AuthenticationTypeAndNumber>
        <RepresentatedOrRepresentativesNames>אריאלה גוטהרץ, בלה צרפתי, דוד צרפתי, קובי צרפתי</RepresentatedOrRepresentativesNames>
        <RepresentatedOrRepresentativesCount>4</RepresentatedOrRepresentativesCount>
        <InvitedBy/>
        <CaseID>80027601</CaseID>
        <CaseJudicialPersonPresentationDS>
          <CaseJudicalPersonActive>
            <CaseID>80027601</CaseID>
            <MotionID>109523248</MotionID>
            <JudicialPersonID>035710987@GOV.IL</JudicialPersonID>
            <JudicialPersonTypeID>1</JudicialPersonTypeID>
            <JudicialTypeID>1</JudicialTypeID>
            <IsChairman>false</IsChairman>
            <TreatmentStartDate>2024-09-01T13:30:45.44+03:00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252276815</CasePartyID>
        <PartyTypeID>2</PartyTypeID>
        <ActivityStatusID>1</ActivityStatusID>
        <PartyAliasID>20</PartyAliasID>
        <PartyAliasName>בא כוח תובעים</PartyAliasName>
        <OrdinalNumber>1</OrdinalNumber>
        <LegalEntityID>79309742</LegalEntityID>
        <CaseLegalEntityID>123298803</CaseLegalEntityID>
        <AuthenticationTypeID>4</AuthenticationTypeID>
        <AuthenticationTypeName>מ.ר.</AuthenticationTypeName>
        <LegalEntityNumber>87923</LegalEntityNumber>
        <IsMainPartyType>true</IsMainPartyType>
        <CaseDisplayIdentifier>50077-02-23</CaseDisplayIdentifier>
        <CaseTypeID>86</CaseTypeID>
        <CaseTypeName>תיק עזבונות (ת"ע)</CaseTypeName>
        <CaseName>צרפתי ואח' נ' צרפתי ואח'</CaseName>
        <FullAddress>ניסנבוים 4 חיפה </FullAddress>
        <MotionID>0</MotionID>
        <CasePleaID>0</CasePleaID>
        <LinkedCaseID>0</LinkedCaseID>
        <PartyID>1</PartyID>
        <CasePartyCategoryID>2</CasePartyCategoryID>
        <LegalEntityAddressID>84454253</LegalEntityAddressID>
        <PleaTypeID>253</PleaTypeID>
        <LawyerOfficeName>משרד עו"ד איילת לוי</LawyerOfficeName>
        <LawyerOfficeID>79309743</LawyerOfficeID>
        <GroupPartyAlias/>
        <IsConverted>false</IsConverted>
        <LegalEntityNameID>90384511</LegalEntityNameID>
        <RepresentatedNamesOfAssistant/>
        <LegalEntityTypeID>4</LegalEntityTypeID>
        <IsVerdictExists>false</IsVerdictExists>
        <IsAsirAzir>false</IsAsirAzir>
        <MainAndSecSpec/>
        <IsPublicationProhibited>false</IsPublicationProhibited>
        <PublicationProhibitedFullName>איילת לוי</PublicationProhibitedFullName>
      </CaseParties>
      <CaseParties>
        <PartyTypeName>צד</PartyTypeName>
        <ProceedingType>בקשות</ProceedingType>
        <PleaName>בקשה של תובע 4 בקשה למזכירות</PleaName>
        <PartyBelonging>צד א'</PartyBelonging>
        <RoleName>מבקש 2</RoleName>
        <IsSubProceeding>TRUE</IsSubProceeding>
        <FullName>בלה צרפתי</FullName>
        <FirstName>בלה</FirstName>
        <LastName>צרפתי</LastName>
        <PartyPropertyName/>
        <AuthenticationTypeAndNumber>ת"ז 029730017</AuthenticationTypeAndNumber>
        <RepresentatedOrRepresentativesNames>איילת לוי</RepresentatedOrRepresentativesNames>
        <RepresentatedOrRepresentativesCount>1</RepresentatedOrRepresentativesCount>
        <InvitedBy/>
        <CaseID>80027601</CaseID>
        <CaseJudicialPersonPresentationDS>
          <CaseJudicalPersonActive>
            <CaseID>80027601</CaseID>
            <MotionID>109523248</MotionID>
            <JudicialPersonID>035710987@GOV.IL</JudicialPersonID>
            <JudicialPersonTypeID>1</JudicialPersonTypeID>
            <JudicialTypeID>1</JudicialTypeID>
            <IsChairman>false</IsChairman>
            <TreatmentStartDate>2024-09-01T13:30:45.44+03:00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276865332</CasePartyID>
        <PartyTypeID>1</PartyTypeID>
        <ActivityStatusID>1</ActivityStatusID>
        <PartyAliasID>3</PartyAliasID>
        <PartyAliasName>מבקש</PartyAliasName>
        <OrdinalNumber>2</OrdinalNumber>
        <LegalEntityID>6147052</LegalEntityID>
        <CaseLegalEntityID>124625971</CaseLegalEntityID>
        <AuthenticationTypeID>1</AuthenticationTypeID>
        <AuthenticationTypeName>ת"ז</AuthenticationTypeName>
        <LegalEntityNumber>029730017</LegalEntityNumber>
        <IsMainPartyType>false</IsMainPartyType>
        <CaseDisplayIdentifier>50077-02-23</CaseDisplayIdentifier>
        <CaseTypeID>86</CaseTypeID>
        <CaseTypeName>תיק עזבונות (ת"ע)</CaseTypeName>
        <CaseName>צרפתי ואח' נ' צרפתי ואח'</CaseName>
        <FullAddress/>
        <MotionID>109523248</MotionID>
        <CasePleaID>0</CasePleaID>
        <FatherName>רפאל</FatherName>
        <LinkedCaseID>0</LinkedCaseID>
        <PartyID>1</PartyID>
        <CasePartyCategoryID>4</CasePartyCategoryID>
        <PleaTypeID>60</PleaTypeID>
        <GroupPartyAlias>מבקשים</GroupPartyAlias>
        <IsConverted>false</IsConverted>
        <LegalEntityRegisteredNameID>8669696</LegalEntityRegisteredNameID>
        <LegalEntityNameID>94967651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בלה צרפתי</PublicationProhibitedFullName>
      </CaseParties>
      <CaseParties>
        <PartyTypeName>צד</PartyTypeName>
        <ProceedingType>בקשות</ProceedingType>
        <PleaName>בקשה של תובע 4 בקשה למזכירות</PleaName>
        <PartyBelonging>צד ב'</PartyBelonging>
        <RoleName>משיב 2</RoleName>
        <IsSubProceeding>TRUE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80027601</CaseID>
        <CaseJudicialPersonPresentationDS>
          <CaseJudicalPersonActive>
            <CaseID>80027601</CaseID>
            <MotionID>109523248</MotionID>
            <JudicialPersonID>035710987@GOV.IL</JudicialPersonID>
            <JudicialPersonTypeID>1</JudicialPersonTypeID>
            <JudicialTypeID>1</JudicialTypeID>
            <IsChairman>false</IsChairman>
            <TreatmentStartDate>2024-09-01T13:30:45.44+03:00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276865336</CasePartyID>
        <PartyTypeID>1</PartyTypeID>
        <ActivityStatusID>1</ActivityStatusID>
        <PartyAliasID>4</PartyAliasID>
        <PartyAliasName>משיב</PartyAliasName>
        <OrdinalNumber>2</OrdinalNumber>
        <LegalEntityID>15841402</LegalEntityID>
        <CaseLegalEntityID>123298804</CaseLegalEntityID>
        <AuthenticationTypeID>13</AuthenticationTypeID>
        <AuthenticationTypeName>משרדי ממשלה</AuthenticationTypeName>
        <LegalEntityNumber>570000605</LegalEntityNumber>
        <IsMainPartyType>false</IsMainPartyType>
        <CaseDisplayIdentifier>50077-02-23</CaseDisplayIdentifier>
        <CaseTypeID>86</CaseTypeID>
        <CaseTypeName>תיק עזבונות (ת"ע)</CaseTypeName>
        <CaseName>צרפתי ואח' נ' צרפתי ואח'</CaseName>
        <FullAddress>פל ים 15 א' חיפה משרד המשפטים</FullAddress>
        <EmailAddress>MAZKIRUT-APAC-HF@JUSTICE.GOV.IL</EmailAddress>
        <MotionID>109523248</MotionID>
        <CasePleaID>0</CasePleaID>
        <LinkedCaseID>0</LinkedCaseID>
        <PartyID>2</PartyID>
        <CasePartyCategoryID>4</CasePartyCategoryID>
        <LegalEntityAddressID>73651471</LegalEntityAddressID>
        <LegalEntityEmailAddressID>67833888</LegalEntityEmailAddressID>
        <PleaTypeID>60</PleaTypeID>
        <GroupPartyAlias>משיבים</GroupPartyAlias>
        <IsConverted>false</IsConverted>
        <LegalEntityRegisteredNameID>1928536</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מחוז חיפה והצפון</PublicationProhibitedFullName>
      </CaseParties>
      <CaseParties>
        <PartyTypeName>צד</PartyTypeName>
        <ProceedingType>בקשות</ProceedingType>
        <PleaName>בקשה של תובע 4 בקשה למזכירות</PleaName>
        <PartyBelonging>צד א'</PartyBelonging>
        <RoleName>מבקש 3</RoleName>
        <IsSubProceeding>TRUE</IsSubProceeding>
        <FullName>קובי צרפתי</FullName>
        <FirstName>קובי</FirstName>
        <LastName>צרפתי</LastName>
        <PartyPropertyName/>
        <AuthenticationTypeAndNumber>ת"ז 023016157</AuthenticationTypeAndNumber>
        <RepresentatedOrRepresentativesNames>איילת לוי</RepresentatedOrRepresentativesNames>
        <RepresentatedOrRepresentativesCount>1</RepresentatedOrRepresentativesCount>
        <InvitedBy/>
        <CaseID>80027601</CaseID>
        <CaseJudicialPersonPresentationDS>
          <CaseJudicalPersonActive>
            <CaseID>80027601</CaseID>
            <MotionID>109523248</MotionID>
            <JudicialPersonID>035710987@GOV.IL</JudicialPersonID>
            <JudicialPersonTypeID>1</JudicialPersonTypeID>
            <JudicialTypeID>1</JudicialTypeID>
            <IsChairman>false</IsChairman>
            <TreatmentStartDate>2024-09-01T13:30:45.44+03:00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276865333</CasePartyID>
        <PartyTypeID>1</PartyTypeID>
        <ActivityStatusID>1</ActivityStatusID>
        <PartyAliasID>3</PartyAliasID>
        <PartyAliasName>מבקש</PartyAliasName>
        <OrdinalNumber>3</OrdinalNumber>
        <LegalEntityID>16581368</LegalEntityID>
        <CaseLegalEntityID>123298802</CaseLegalEntityID>
        <AuthenticationTypeID>1</AuthenticationTypeID>
        <AuthenticationTypeName>ת"ז</AuthenticationTypeName>
        <LegalEntityNumber>023016157</LegalEntityNumber>
        <IsMainPartyType>false</IsMainPartyType>
        <CaseDisplayIdentifier>50077-02-23</CaseDisplayIdentifier>
        <CaseTypeID>86</CaseTypeID>
        <CaseTypeName>תיק עזבונות (ת"ע)</CaseTypeName>
        <CaseName>צרפתי ואח' נ' צרפתי ואח'</CaseName>
        <FullAddress>הבנקים 7 חיפה </FullAddress>
        <MotionID>109523248</MotionID>
        <CasePleaID>0</CasePleaID>
        <FatherName>רפאל</FatherName>
        <LinkedCaseID>0</LinkedCaseID>
        <PartyID>1</PartyID>
        <CasePartyCategoryID>4</CasePartyCategoryID>
        <LegalEntityAddressID>87592574</LegalEntityAddressID>
        <FictitiousPoliceNumber/>
        <PleaTypeID>60</PleaTypeID>
        <GroupPartyAlias>מבקשים</GroupPartyAlias>
        <IsConverted>false</IsConverted>
        <LegalEntityRegisteredNameID>5912713</LegalEntityRegisteredNameID>
        <LegalEntityNameID>94461591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קובי צרפתי</PublicationProhibitedFullName>
      </CaseParties>
      <CaseParties>
        <PartyTypeName>צד</PartyTypeName>
        <ProceedingType>בקשות</ProceedingType>
        <PleaName>בקשה של תובע 4 בקשה למזכירות</PleaName>
        <PartyBelonging>צד ב'</PartyBelonging>
        <RoleName>משיב 3</RoleName>
        <IsSubProceeding>TRUE</IsSubProceeding>
        <FullName>רחל דבורה צרפתי</FullName>
        <FirstName>רחל דבורה</FirstName>
        <LastName>צרפתי</LastName>
        <PartyPropertyName/>
        <AuthenticationTypeAndNumber>ת"ז 005453444</AuthenticationTypeAndNumber>
        <RepresentatedOrRepresentativesNames>נאוה הרשקוביץ-סרף</RepresentatedOrRepresentativesNames>
        <RepresentatedOrRepresentativesCount>1</RepresentatedOrRepresentativesCount>
        <InvitedBy/>
        <CaseID>80027601</CaseID>
        <CaseJudicialPersonPresentationDS>
          <CaseJudicalPersonActive>
            <CaseID>80027601</CaseID>
            <MotionID>109523248</MotionID>
            <JudicialPersonID>035710987@GOV.IL</JudicialPersonID>
            <JudicialPersonTypeID>1</JudicialPersonTypeID>
            <JudicialTypeID>1</JudicialTypeID>
            <IsChairman>false</IsChairman>
            <TreatmentStartDate>2024-09-01T13:30:45.44+03:00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276865337</CasePartyID>
        <PartyTypeID>1</PartyTypeID>
        <ActivityStatusID>1</ActivityStatusID>
        <PartyAliasID>4</PartyAliasID>
        <PartyAliasName>משיב</PartyAliasName>
        <OrdinalNumber>3</OrdinalNumber>
        <LegalEntityID>72124816</LegalEntityID>
        <CaseLegalEntityID>123355146</CaseLegalEntityID>
        <AuthenticationTypeID>1</AuthenticationTypeID>
        <AuthenticationTypeName>ת"ז</AuthenticationTypeName>
        <LegalEntityNumber>005453444</LegalEntityNumber>
        <IsMainPartyType>false</IsMainPartyType>
        <CaseDisplayIdentifier>50077-02-23</CaseDisplayIdentifier>
        <CaseTypeID>86</CaseTypeID>
        <CaseTypeName>תיק עזבונות (ת"ע)</CaseTypeName>
        <CaseName>צרפתי ואח' נ' צרפתי ואח'</CaseName>
        <FullAddress/>
        <MotionID>109523248</MotionID>
        <CasePleaID>0</CasePleaID>
        <BirthDate>1947-03-13T00:00:00+02:00</BirthDate>
        <FatherName>יצחק    </FatherName>
        <LinkedCaseID>0</LinkedCaseID>
        <PartyID>2</PartyID>
        <CasePartyCategoryID>4</CasePartyCategoryID>
        <PleaTypeID>60</PleaTypeID>
        <GroupPartyAlias>משיבים</GroupPartyAlias>
        <IsConverted>false</IsConverted>
        <LegalEntityRegisteredNameID>3621466</LegalEntityRegisteredNameID>
        <LegalEntityNameID>94482965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רחל דבורה צרפתי</PublicationProhibitedFullName>
      </CaseParties>
      <CaseParties>
        <PartyTypeName>צד</PartyTypeName>
        <ProceedingType>בקשות</ProceedingType>
        <PleaName>בקשה של תובע 4 בקשה למזכירות</PleaName>
        <PartyBelonging>צד א'</PartyBelonging>
        <RoleName>מבקש 4</RoleName>
        <IsSubProceeding>TRUE</IsSubProceeding>
        <FullName>דוד צרפתי</FullName>
        <FirstName>דוד</FirstName>
        <LastName>צרפתי</LastName>
        <PartyPropertyName/>
        <AuthenticationTypeAndNumber>ת"ז 059648949</AuthenticationTypeAndNumber>
        <RepresentatedOrRepresentativesNames>איילת לוי</RepresentatedOrRepresentativesNames>
        <RepresentatedOrRepresentativesCount>1</RepresentatedOrRepresentativesCount>
        <InvitedBy/>
        <CaseID>80027601</CaseID>
        <CaseJudicialPersonPresentationDS>
          <CaseJudicalPersonActive>
            <CaseID>80027601</CaseID>
            <MotionID>109523248</MotionID>
            <JudicialPersonID>035710987@GOV.IL</JudicialPersonID>
            <JudicialPersonTypeID>1</JudicialPersonTypeID>
            <JudicialTypeID>1</JudicialTypeID>
            <IsChairman>false</IsChairman>
            <TreatmentStartDate>2024-09-01T13:30:45.44+03:00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276865334</CasePartyID>
        <PartyTypeID>1</PartyTypeID>
        <ActivityStatusID>1</ActivityStatusID>
        <PartyAliasID>3</PartyAliasID>
        <PartyAliasName>מבקש</PartyAliasName>
        <OrdinalNumber>4</OrdinalNumber>
        <LegalEntityID>6209173</LegalEntityID>
        <CaseLegalEntityID>124625922</CaseLegalEntityID>
        <AuthenticationTypeID>1</AuthenticationTypeID>
        <AuthenticationTypeName>ת"ז</AuthenticationTypeName>
        <LegalEntityNumber>059648949</LegalEntityNumber>
        <IsMainPartyType>false</IsMainPartyType>
        <CaseDisplayIdentifier>50077-02-23</CaseDisplayIdentifier>
        <CaseTypeID>86</CaseTypeID>
        <CaseTypeName>תיק עזבונות (ת"ע)</CaseTypeName>
        <CaseName>צרפתי ואח' נ' צרפתי ואח'</CaseName>
        <FullAddress>רזיאל דוד 29 חיפה </FullAddress>
        <MotionID>109523248</MotionID>
        <CasePleaID>0</CasePleaID>
        <FatherName>רפאל</FatherName>
        <LinkedCaseID>0</LinkedCaseID>
        <PartyID>1</PartyID>
        <CasePartyCategoryID>4</CasePartyCategoryID>
        <LegalEntityAddressID>88808267</LegalEntityAddressID>
        <GrandfatherName/>
        <DrivingLicenseNumber>6034076</DrivingLicenseNumber>
        <PleaTypeID>60</PleaTypeID>
        <GroupPartyAlias>מבקשים</GroupPartyAlias>
        <IsConverted>false</IsConverted>
        <LegalEntityRegisteredNameID>1933859</LegalEntityRegisteredNameID>
        <LegalEntityNameID>94967633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דוד צרפתי</PublicationProhibitedFullName>
      </CaseParties>
    </CasePartiesSelectionDS>
    <CaseName>צרפתי ואח' נ' צרפתי ואח'</CaseName>
    <CaseDisplayIdentifier>50077-02-23</CaseDisplayIdentifier>
    <CaseInterestID>161</CaseInterestID>
    <CaseTypeShortName>ת"ע</CaseTypeShortName>
  </dt_DecisionCase>
  <dt_DecisionJudgePanel>
    <JudgeID>035710987@GOV.IL</JudgeID>
    <DisplayName>אלה פטל</DisplayName>
    <RoleName>שופט</RoleName>
    <UserTitleName>שופטת</UserTitleName>
  </dt_DecisionJudgePanel>
  <dt_LegalEntityDetails>
    <Fax>073-3998278</Fax>
    <Phone>077-5444722</Phone>
    <AddressDesc>חלונות הסיטי, בנין אשל קומה 6</AddressDesc>
    <PartyID>2</PartyID>
    <PartyTypeID>2</PartyTypeID>
    <DecisionID>0</DecisionID>
    <StreetName>פל-ים 2 </StreetName>
    <ZipCode>3309502</ZipCode>
    <CityName>חיפה</CityName>
    <FullName>נאוה הרשקוביץ-סרף</FullName>
    <Email>navadv48@outlook.co.il</Email>
    <IsPublicationProhibited>false</IsPublicationProhibited>
  </dt_LegalEntityDetails>
  <dt_LegalEntityDetails>
    <Fax>04-8111277</Fax>
    <Phone>054-7511859</Phone>
    <AddressDesc/>
    <PartyID>1</PartyID>
    <PartyTypeID>3</PartyTypeID>
    <DecisionID>0</DecisionID>
    <AssistantRoleID>103</AssistantRoleID>
    <StreetName>שדרות הנשיא 134 מרכז האודיטוריום בניין A</StreetName>
    <CityName>חיפה</CityName>
    <FullName>רוני חן סטינגר</FullName>
    <Email>office@ronnyncs.com</Email>
    <IsPublicationProhibited>false</IsPublicationProhibited>
  </dt_LegalEntityDetails>
  <dt_LegalEntityDetails>
    <PartyID>1</PartyID>
    <PartyTypeID>1</PartyTypeID>
    <DecisionID>0</DecisionID>
    <StreetName>הבנקים 7</StreetName>
    <CityName>חיפה</CityName>
    <FullName>קובי צרפתי</FullName>
    <IsPublicationProhibited>false</IsPublicationProhibited>
  </dt_LegalEntityDetails>
  <dt_LegalEntityDetails>
    <Phone>052-3675570</Phone>
    <PartyID>1</PartyID>
    <PartyTypeID>2</PartyTypeID>
    <DecisionID>0</DecisionID>
    <StreetName>ניסנבוים 4</StreetName>
    <ZipCode>320808</ZipCode>
    <CityName>חיפה</CityName>
    <FullName>איילת לוי</FullName>
    <Email>Ayeletelbaz522@Gmail.com</Email>
    <IsPublicationProhibited>false</IsPublicationProhibited>
  </dt_LegalEntityDetails>
  <dt_LegalEntityDetails>
    <PartyID>2</PartyID>
    <PartyTypeID>1</PartyTypeID>
    <DecisionID>0</DecisionID>
    <FullName>רחל דבורה  צרפתי</FullName>
    <IsPublicationProhibited>false</IsPublicationProhibited>
  </dt_LegalEntityDetails>
  <dt_LegalEntityDetails>
    <PartyID>2</PartyID>
    <PartyTypeID>1</PartyTypeID>
    <DecisionID>0</DecisionID>
    <FullName>רפאל צרפתי</FullName>
    <IsPublicationProhibited>false</IsPublicationProhibited>
  </dt_LegalEntityDetails>
  <dt_LegalEntityDetails>
    <PartyID>1</PartyID>
    <PartyTypeID>1</PartyTypeID>
    <DecisionID>0</DecisionID>
    <StreetName>רזיאל דוד 29</StreetName>
    <CityName>חיפה</CityName>
    <FullName>דוד צרפתי</FullName>
    <IsPublicationProhibited>false</IsPublicationProhibited>
  </dt_LegalEntityDetails>
  <dt_LegalEntityDetails>
    <Fax>02-6467567</Fax>
    <Phone>04-8633763</Phone>
    <AddressDesc>משרד המשפטים</AddressDesc>
    <PartyID>2</PartyID>
    <PartyTypeID>1</PartyTypeID>
    <DecisionID>0</DecisionID>
    <StreetName>פל ים 15 א' </StreetName>
    <ZipCode>31008</ZipCode>
    <CityName>חיפה</CityName>
    <FullName> האפוטרופוס הכללי מחוז חיפה והצפון</FullName>
    <Email>MAZKIRUT-APAC-HF@JUSTICE.GOV.IL</Email>
    <IsPublicationProhibited>false</IsPublicationProhibited>
  </dt_LegalEntityDetails>
  <dt_LegalEntityDetails>
    <PartyID>1</PartyID>
    <PartyTypeID>1</PartyTypeID>
    <DecisionID>0</DecisionID>
    <FullName>בלה צרפתי</FullName>
    <IsPublicationProhibited>false</IsPublicationProhibited>
  </dt_LegalEntityDetails>
  <dt_LegalEntityDetails>
    <PartyID>1</PartyID>
    <PartyTypeID>1</PartyTypeID>
    <DecisionID>0</DecisionID>
    <FullName>אריאלה גוטהרץ</FullName>
    <IsPublicationProhibited>false</IsPublicationProhibited>
  </dt_LegalEntityDetails>
  <dt_CaseJudicalPersonActive>
    <CaseJudicalPerson>שופטת אלה פטל</CaseJudicalPerson>
  </dt_CaseJudicalPersonActive>
  <dt_Sitting>
    <FutureSittingDate>2024-10-30T09:00:00+02:00</FutureSittingDate>
    <PreviousMeetingDate>2023-12-03T10:30:00+02:00</PreviousMeetingDate>
    <NextSittingTypeID>1</NextSittingTypeID>
    <PreviousSittingTypeID>1</PreviousSittingTypeID>
    <NextMeetingDisplayName>שופטת אלה פטל</NextMeetingDisplayName>
    <NextMeetingRoleName>שופט</NextMeetingRoleName>
    <NextMeetingUserTitleName>שופטת</NextMeetingUserTitleName>
    <NextMeetingUserUPN>035710987@GOV.IL</NextMeetingUserUPN>
    <PreviousMeetingDisplayName>שופטת ענבל קרן</PreviousMeetingDisplayName>
    <PreviousMeetingRoleName>שופט</PreviousMeetingRoleName>
    <PreviousMeetingUserTitleName>שופטת</PreviousMeetingUserTitleName>
    <PreviousMeetingUserUPN>032115875@GOV.IL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BB7CEA-26C0-4B26-9143-7327D2F4F77B}">
  <ds:schemaRefs/>
</ds:datastoreItem>
</file>

<file path=customXml/itemProps2.xml><?xml version="1.0" encoding="utf-8"?>
<ds:datastoreItem xmlns:ds="http://schemas.openxmlformats.org/officeDocument/2006/customXml" ds:itemID="{C68A4056-0D35-445B-A677-CEBE0B60B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3700</Words>
  <Characters>18502</Characters>
  <Application>Microsoft Office Word</Application>
  <DocSecurity>0</DocSecurity>
  <Lines>154</Lines>
  <Paragraphs>44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2024-09-09T10:16:00Z</cp:lastPrinted>
  <dcterms:created xsi:type="dcterms:W3CDTF">2024-11-13T12:03:00Z</dcterms:created>
  <dcterms:modified xsi:type="dcterms:W3CDTF">2024-11-13T12:03:00Z</dcterms:modified>
</cp:coreProperties>
</file>